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78" w:rsidRDefault="00052878" w:rsidP="00052878">
      <w:pPr>
        <w:tabs>
          <w:tab w:val="left" w:pos="7560"/>
        </w:tabs>
        <w:spacing w:line="360" w:lineRule="auto"/>
        <w:rPr>
          <w:rFonts w:ascii="黑体" w:eastAsia="黑体"/>
          <w:sz w:val="32"/>
          <w:szCs w:val="32"/>
        </w:rPr>
      </w:pPr>
      <w:r w:rsidRPr="00AD62AD">
        <w:rPr>
          <w:rFonts w:ascii="黑体" w:eastAsia="黑体" w:hint="eastAsia"/>
          <w:sz w:val="32"/>
          <w:szCs w:val="32"/>
        </w:rPr>
        <w:t>附件</w:t>
      </w:r>
    </w:p>
    <w:p w:rsidR="00052878" w:rsidRDefault="00052878" w:rsidP="00052878">
      <w:pPr>
        <w:tabs>
          <w:tab w:val="left" w:pos="7560"/>
        </w:tabs>
        <w:spacing w:line="360" w:lineRule="auto"/>
        <w:rPr>
          <w:rFonts w:ascii="黑体" w:eastAsia="黑体"/>
          <w:sz w:val="32"/>
          <w:szCs w:val="32"/>
        </w:rPr>
      </w:pPr>
    </w:p>
    <w:p w:rsidR="00052878" w:rsidRPr="008717DE" w:rsidRDefault="00052878" w:rsidP="00052878">
      <w:pPr>
        <w:spacing w:line="360" w:lineRule="auto"/>
        <w:jc w:val="center"/>
        <w:rPr>
          <w:rFonts w:ascii="方正小标宋简体" w:eastAsia="方正小标宋简体" w:hAnsi="仿宋" w:cs="方正小标宋简体"/>
          <w:bCs/>
          <w:sz w:val="44"/>
          <w:szCs w:val="44"/>
        </w:rPr>
      </w:pPr>
      <w:bookmarkStart w:id="0" w:name="_GoBack"/>
      <w:r w:rsidRPr="008717DE">
        <w:rPr>
          <w:rFonts w:ascii="方正小标宋简体" w:eastAsia="方正小标宋简体" w:hAnsi="仿宋" w:cs="方正小标宋简体" w:hint="eastAsia"/>
          <w:bCs/>
          <w:sz w:val="44"/>
          <w:szCs w:val="44"/>
        </w:rPr>
        <w:t>人体生物等效性试验豁免指导原则</w:t>
      </w:r>
      <w:bookmarkEnd w:id="0"/>
    </w:p>
    <w:p w:rsidR="00052878" w:rsidRPr="002E17DA" w:rsidRDefault="00052878" w:rsidP="00052878">
      <w:pPr>
        <w:spacing w:line="360" w:lineRule="auto"/>
        <w:ind w:firstLineChars="200" w:firstLine="640"/>
        <w:rPr>
          <w:rFonts w:eastAsia="仿宋_GB2312"/>
          <w:bCs/>
          <w:sz w:val="32"/>
          <w:szCs w:val="32"/>
        </w:rPr>
      </w:pPr>
    </w:p>
    <w:p w:rsidR="00052878" w:rsidRPr="002E17DA" w:rsidRDefault="00052878" w:rsidP="00052878">
      <w:pPr>
        <w:spacing w:line="360" w:lineRule="auto"/>
        <w:ind w:firstLineChars="200" w:firstLine="640"/>
        <w:rPr>
          <w:rFonts w:eastAsia="仿宋_GB2312"/>
          <w:sz w:val="32"/>
          <w:szCs w:val="32"/>
        </w:rPr>
      </w:pPr>
      <w:r w:rsidRPr="002E17DA">
        <w:rPr>
          <w:rFonts w:eastAsia="仿宋_GB2312"/>
          <w:sz w:val="32"/>
          <w:szCs w:val="32"/>
        </w:rPr>
        <w:t>本指导原则适用于仿制药质量和疗效一致性评价中口服固体常释制剂申请生物等效性（</w:t>
      </w:r>
      <w:r w:rsidRPr="002E17DA">
        <w:rPr>
          <w:rFonts w:eastAsia="仿宋_GB2312"/>
          <w:sz w:val="32"/>
          <w:szCs w:val="32"/>
        </w:rPr>
        <w:t>Bioequivalence</w:t>
      </w:r>
      <w:r w:rsidRPr="002E17DA">
        <w:rPr>
          <w:rFonts w:eastAsia="仿宋_GB2312"/>
          <w:sz w:val="32"/>
          <w:szCs w:val="32"/>
        </w:rPr>
        <w:t>）豁免。该指导原则是基于国际公认的生物药剂学分类系统（</w:t>
      </w:r>
      <w:proofErr w:type="spellStart"/>
      <w:r w:rsidRPr="002E17DA">
        <w:rPr>
          <w:rFonts w:eastAsia="仿宋_GB2312"/>
          <w:kern w:val="0"/>
          <w:sz w:val="32"/>
          <w:szCs w:val="32"/>
        </w:rPr>
        <w:t>Biopharmaceutics</w:t>
      </w:r>
      <w:proofErr w:type="spellEnd"/>
      <w:r w:rsidRPr="002E17DA">
        <w:rPr>
          <w:rFonts w:eastAsia="仿宋_GB2312"/>
          <w:kern w:val="0"/>
          <w:sz w:val="32"/>
          <w:szCs w:val="32"/>
        </w:rPr>
        <w:t xml:space="preserve"> Classification System</w:t>
      </w:r>
      <w:r w:rsidRPr="002E17DA">
        <w:rPr>
          <w:rFonts w:eastAsia="仿宋_GB2312"/>
          <w:sz w:val="32"/>
          <w:szCs w:val="32"/>
        </w:rPr>
        <w:t>，以下简称</w:t>
      </w:r>
      <w:r w:rsidRPr="002E17DA">
        <w:rPr>
          <w:rFonts w:eastAsia="仿宋_GB2312"/>
          <w:sz w:val="32"/>
          <w:szCs w:val="32"/>
        </w:rPr>
        <w:t>BCS</w:t>
      </w:r>
      <w:r w:rsidRPr="002E17DA">
        <w:rPr>
          <w:rFonts w:eastAsia="仿宋_GB2312"/>
          <w:sz w:val="32"/>
          <w:szCs w:val="32"/>
        </w:rPr>
        <w:t>）起草。</w:t>
      </w:r>
    </w:p>
    <w:p w:rsidR="00052878" w:rsidRPr="002E17DA" w:rsidRDefault="00052878" w:rsidP="00052878">
      <w:pPr>
        <w:pStyle w:val="1"/>
        <w:adjustRightInd w:val="0"/>
        <w:snapToGrid w:val="0"/>
        <w:spacing w:line="360" w:lineRule="auto"/>
        <w:ind w:firstLine="640"/>
        <w:rPr>
          <w:rFonts w:ascii="Times New Roman" w:eastAsia="黑体" w:hAnsi="Times New Roman"/>
          <w:sz w:val="32"/>
          <w:szCs w:val="32"/>
        </w:rPr>
      </w:pPr>
      <w:r w:rsidRPr="002E17DA">
        <w:rPr>
          <w:rFonts w:ascii="Times New Roman" w:eastAsia="黑体" w:hAnsi="Times New Roman"/>
          <w:sz w:val="32"/>
          <w:szCs w:val="32"/>
        </w:rPr>
        <w:t>一、药物</w:t>
      </w:r>
      <w:r w:rsidRPr="002E17DA">
        <w:rPr>
          <w:rFonts w:ascii="Times New Roman" w:eastAsia="黑体" w:hAnsi="Times New Roman"/>
          <w:sz w:val="32"/>
          <w:szCs w:val="32"/>
        </w:rPr>
        <w:t>BCS</w:t>
      </w:r>
      <w:r w:rsidRPr="002E17DA">
        <w:rPr>
          <w:rFonts w:ascii="Times New Roman" w:eastAsia="黑体" w:hAnsi="Times New Roman"/>
          <w:sz w:val="32"/>
          <w:szCs w:val="32"/>
        </w:rPr>
        <w:t>分类</w:t>
      </w:r>
    </w:p>
    <w:p w:rsidR="00052878" w:rsidRPr="002E17DA" w:rsidRDefault="00052878" w:rsidP="00052878">
      <w:pPr>
        <w:pStyle w:val="1"/>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BCS</w:t>
      </w:r>
      <w:r w:rsidRPr="002E17DA">
        <w:rPr>
          <w:rFonts w:ascii="Times New Roman" w:eastAsia="仿宋_GB2312" w:hAnsi="Times New Roman"/>
          <w:sz w:val="32"/>
          <w:szCs w:val="32"/>
        </w:rPr>
        <w:t>系统是按照药物的水溶性和肠道渗透性对其进行分类的一个科学架构。当涉及到口服固体常释制剂中活性药物成分（</w:t>
      </w:r>
      <w:r w:rsidRPr="002E17DA">
        <w:rPr>
          <w:rFonts w:ascii="Times New Roman" w:eastAsia="仿宋_GB2312" w:hAnsi="Times New Roman"/>
          <w:sz w:val="32"/>
          <w:szCs w:val="32"/>
        </w:rPr>
        <w:t>Active Pharmaceutical Ingredient</w:t>
      </w:r>
      <w:r w:rsidRPr="002E17DA">
        <w:rPr>
          <w:rFonts w:ascii="Times New Roman" w:eastAsia="仿宋_GB2312" w:hAnsi="Times New Roman"/>
          <w:sz w:val="32"/>
          <w:szCs w:val="32"/>
        </w:rPr>
        <w:t>，以下简称</w:t>
      </w:r>
      <w:r w:rsidRPr="002E17DA">
        <w:rPr>
          <w:rFonts w:ascii="Times New Roman" w:eastAsia="仿宋_GB2312" w:hAnsi="Times New Roman"/>
          <w:sz w:val="32"/>
          <w:szCs w:val="32"/>
        </w:rPr>
        <w:t>API</w:t>
      </w:r>
      <w:r w:rsidRPr="002E17DA">
        <w:rPr>
          <w:rFonts w:ascii="Times New Roman" w:eastAsia="仿宋_GB2312" w:hAnsi="Times New Roman"/>
          <w:sz w:val="32"/>
          <w:szCs w:val="32"/>
        </w:rPr>
        <w:t>）在体内吸收速度和程度时，</w:t>
      </w:r>
      <w:r w:rsidRPr="002E17DA">
        <w:rPr>
          <w:rFonts w:ascii="Times New Roman" w:eastAsia="仿宋_GB2312" w:hAnsi="Times New Roman"/>
          <w:sz w:val="32"/>
          <w:szCs w:val="32"/>
        </w:rPr>
        <w:t>BCS</w:t>
      </w:r>
      <w:r w:rsidRPr="002E17DA">
        <w:rPr>
          <w:rFonts w:ascii="Times New Roman" w:eastAsia="仿宋_GB2312" w:hAnsi="Times New Roman"/>
          <w:sz w:val="32"/>
          <w:szCs w:val="32"/>
        </w:rPr>
        <w:t>系统主要考虑以下三个关键因素，即：药物溶解性（</w:t>
      </w:r>
      <w:r w:rsidRPr="002E17DA">
        <w:rPr>
          <w:rFonts w:ascii="Times New Roman" w:eastAsia="仿宋_GB2312" w:hAnsi="Times New Roman"/>
          <w:sz w:val="32"/>
          <w:szCs w:val="32"/>
        </w:rPr>
        <w:t>Solubility</w:t>
      </w:r>
      <w:r w:rsidRPr="002E17DA">
        <w:rPr>
          <w:rFonts w:ascii="Times New Roman" w:eastAsia="仿宋_GB2312" w:hAnsi="Times New Roman"/>
          <w:sz w:val="32"/>
          <w:szCs w:val="32"/>
        </w:rPr>
        <w:t>）、肠道渗透性（</w:t>
      </w:r>
      <w:r w:rsidRPr="002E17DA">
        <w:rPr>
          <w:rFonts w:ascii="Times New Roman" w:eastAsia="仿宋_GB2312" w:hAnsi="Times New Roman"/>
          <w:sz w:val="32"/>
          <w:szCs w:val="32"/>
        </w:rPr>
        <w:t>Intestinal permeability</w:t>
      </w:r>
      <w:r w:rsidRPr="002E17DA">
        <w:rPr>
          <w:rFonts w:ascii="Times New Roman" w:eastAsia="仿宋_GB2312" w:hAnsi="Times New Roman"/>
          <w:sz w:val="32"/>
          <w:szCs w:val="32"/>
        </w:rPr>
        <w:t>）和制剂溶出度（</w:t>
      </w:r>
      <w:r w:rsidRPr="002E17DA">
        <w:rPr>
          <w:rFonts w:ascii="Times New Roman" w:eastAsia="仿宋_GB2312" w:hAnsi="Times New Roman"/>
          <w:sz w:val="32"/>
          <w:szCs w:val="32"/>
        </w:rPr>
        <w:t>Dissolution</w:t>
      </w:r>
      <w:r w:rsidRPr="002E17DA">
        <w:rPr>
          <w:rFonts w:ascii="Times New Roman" w:eastAsia="仿宋_GB2312" w:hAnsi="Times New Roman"/>
          <w:sz w:val="32"/>
          <w:szCs w:val="32"/>
        </w:rPr>
        <w:t>）。</w:t>
      </w:r>
    </w:p>
    <w:p w:rsidR="00052878" w:rsidRPr="002E17DA" w:rsidRDefault="00052878" w:rsidP="00052878">
      <w:pPr>
        <w:widowControl/>
        <w:adjustRightInd w:val="0"/>
        <w:snapToGrid w:val="0"/>
        <w:spacing w:line="360" w:lineRule="auto"/>
        <w:ind w:firstLineChars="200" w:firstLine="640"/>
        <w:rPr>
          <w:rFonts w:eastAsia="仿宋_GB2312"/>
          <w:kern w:val="0"/>
          <w:sz w:val="32"/>
          <w:szCs w:val="32"/>
        </w:rPr>
      </w:pPr>
      <w:r w:rsidRPr="002E17DA">
        <w:rPr>
          <w:rFonts w:eastAsia="楷体_GB2312"/>
          <w:kern w:val="0"/>
          <w:sz w:val="32"/>
          <w:szCs w:val="32"/>
        </w:rPr>
        <w:t>（一）溶解性</w:t>
      </w:r>
    </w:p>
    <w:p w:rsidR="00052878" w:rsidRPr="002E17DA" w:rsidRDefault="00052878" w:rsidP="00052878">
      <w:pPr>
        <w:adjustRightInd w:val="0"/>
        <w:snapToGrid w:val="0"/>
        <w:spacing w:line="360" w:lineRule="auto"/>
        <w:ind w:firstLineChars="200" w:firstLine="640"/>
        <w:rPr>
          <w:rFonts w:eastAsia="仿宋_GB2312"/>
          <w:sz w:val="32"/>
          <w:szCs w:val="32"/>
        </w:rPr>
      </w:pPr>
      <w:r w:rsidRPr="002E17DA">
        <w:rPr>
          <w:rFonts w:eastAsia="仿宋_GB2312"/>
          <w:sz w:val="32"/>
          <w:szCs w:val="32"/>
        </w:rPr>
        <w:t>溶解性分类根据申请生物等效豁免制剂的最高剂量而界定。当单次给药的最高剂量对应的</w:t>
      </w:r>
      <w:r w:rsidRPr="002E17DA">
        <w:rPr>
          <w:rFonts w:eastAsia="仿宋_GB2312"/>
          <w:sz w:val="32"/>
          <w:szCs w:val="32"/>
        </w:rPr>
        <w:t>API</w:t>
      </w:r>
      <w:r w:rsidRPr="002E17DA">
        <w:rPr>
          <w:rFonts w:eastAsia="仿宋_GB2312"/>
          <w:sz w:val="32"/>
          <w:szCs w:val="32"/>
        </w:rPr>
        <w:t>在体积为</w:t>
      </w:r>
      <w:r w:rsidRPr="002E17DA">
        <w:rPr>
          <w:rFonts w:eastAsia="仿宋_GB2312"/>
          <w:sz w:val="32"/>
          <w:szCs w:val="32"/>
        </w:rPr>
        <w:t>250ml</w:t>
      </w:r>
      <w:r w:rsidRPr="002E17DA">
        <w:rPr>
          <w:rFonts w:eastAsia="仿宋_GB2312"/>
          <w:sz w:val="32"/>
          <w:szCs w:val="32"/>
        </w:rPr>
        <w:t>（或更少）、</w:t>
      </w:r>
      <w:r w:rsidRPr="002E17DA">
        <w:rPr>
          <w:rFonts w:eastAsia="仿宋_GB2312"/>
          <w:sz w:val="32"/>
          <w:szCs w:val="32"/>
        </w:rPr>
        <w:t>pH</w:t>
      </w:r>
      <w:r w:rsidRPr="002E17DA">
        <w:rPr>
          <w:rFonts w:eastAsia="仿宋_GB2312"/>
          <w:sz w:val="32"/>
          <w:szCs w:val="32"/>
        </w:rPr>
        <w:t>值在</w:t>
      </w:r>
      <w:r w:rsidRPr="002E17DA">
        <w:rPr>
          <w:rFonts w:eastAsia="仿宋_GB2312"/>
          <w:sz w:val="32"/>
          <w:szCs w:val="32"/>
        </w:rPr>
        <w:t>1.0—6.8</w:t>
      </w:r>
      <w:r w:rsidRPr="002E17DA">
        <w:rPr>
          <w:rFonts w:eastAsia="仿宋_GB2312"/>
          <w:sz w:val="32"/>
          <w:szCs w:val="32"/>
        </w:rPr>
        <w:t>范围内的水溶性介质中完全溶解，则可认为该药物为高溶解性。</w:t>
      </w:r>
      <w:r w:rsidRPr="002E17DA">
        <w:rPr>
          <w:rFonts w:eastAsia="仿宋_GB2312"/>
          <w:sz w:val="32"/>
          <w:szCs w:val="32"/>
        </w:rPr>
        <w:t>250ml</w:t>
      </w:r>
      <w:r w:rsidRPr="002E17DA">
        <w:rPr>
          <w:rFonts w:eastAsia="仿宋_GB2312"/>
          <w:sz w:val="32"/>
          <w:szCs w:val="32"/>
        </w:rPr>
        <w:t>的量来源于标准的生物等效性研究中受试者用于服药的一杯水的量。</w:t>
      </w:r>
    </w:p>
    <w:p w:rsidR="00052878" w:rsidRPr="002E17DA" w:rsidRDefault="00052878" w:rsidP="00052878">
      <w:pPr>
        <w:widowControl/>
        <w:adjustRightInd w:val="0"/>
        <w:snapToGrid w:val="0"/>
        <w:spacing w:line="360" w:lineRule="auto"/>
        <w:ind w:firstLineChars="200" w:firstLine="640"/>
        <w:rPr>
          <w:rFonts w:eastAsia="楷体_GB2312"/>
          <w:kern w:val="0"/>
          <w:sz w:val="32"/>
          <w:szCs w:val="32"/>
        </w:rPr>
      </w:pPr>
      <w:r w:rsidRPr="002E17DA">
        <w:rPr>
          <w:rFonts w:eastAsia="楷体_GB2312"/>
          <w:kern w:val="0"/>
          <w:sz w:val="32"/>
          <w:szCs w:val="32"/>
        </w:rPr>
        <w:lastRenderedPageBreak/>
        <w:t>（二）渗透性</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渗透性分类与</w:t>
      </w:r>
      <w:r w:rsidRPr="002E17DA">
        <w:rPr>
          <w:rFonts w:eastAsia="仿宋_GB2312"/>
          <w:sz w:val="32"/>
          <w:szCs w:val="32"/>
        </w:rPr>
        <w:t>API</w:t>
      </w:r>
      <w:r w:rsidRPr="002E17DA">
        <w:rPr>
          <w:rFonts w:eastAsia="仿宋_GB2312"/>
          <w:sz w:val="32"/>
          <w:szCs w:val="32"/>
        </w:rPr>
        <w:t>在人体内的吸收程度间接相关（指吸收剂量的分数，而不是全身的生物利用度），与</w:t>
      </w:r>
      <w:r w:rsidRPr="002E17DA">
        <w:rPr>
          <w:rFonts w:eastAsia="仿宋_GB2312"/>
          <w:sz w:val="32"/>
          <w:szCs w:val="32"/>
        </w:rPr>
        <w:t>API</w:t>
      </w:r>
      <w:r w:rsidRPr="002E17DA">
        <w:rPr>
          <w:rFonts w:eastAsia="仿宋_GB2312"/>
          <w:sz w:val="32"/>
          <w:szCs w:val="32"/>
        </w:rPr>
        <w:t>在人体肠道膜间质量转移速率直接相关，或者也可以考虑其他可以用来预测药物在体内吸收程度的非人体系统（如使用原位动物、体外上皮细胞培养等方法）对渗透性进行分类。当一个口服药物采用质量平衡测定的结果或是相对于静脉注射的参照剂量，显示在体内的吸收程度</w:t>
      </w:r>
      <w:r w:rsidRPr="002E17DA">
        <w:rPr>
          <w:rFonts w:eastAsia="仿宋_GB2312"/>
          <w:sz w:val="32"/>
          <w:szCs w:val="32"/>
        </w:rPr>
        <w:t>≥85%</w:t>
      </w:r>
      <w:r w:rsidRPr="002E17DA">
        <w:rPr>
          <w:rFonts w:eastAsia="仿宋_GB2312"/>
          <w:sz w:val="32"/>
          <w:szCs w:val="32"/>
        </w:rPr>
        <w:t>以上（并且有证据证明药物在胃肠道稳定性良好），则可说明该药物具有高渗透性。</w:t>
      </w:r>
    </w:p>
    <w:p w:rsidR="00052878" w:rsidRPr="002E17DA" w:rsidRDefault="00052878" w:rsidP="00052878">
      <w:pPr>
        <w:widowControl/>
        <w:adjustRightInd w:val="0"/>
        <w:snapToGrid w:val="0"/>
        <w:spacing w:line="360" w:lineRule="auto"/>
        <w:ind w:firstLineChars="200" w:firstLine="640"/>
        <w:rPr>
          <w:rFonts w:eastAsia="楷体_GB2312"/>
          <w:kern w:val="0"/>
          <w:sz w:val="32"/>
          <w:szCs w:val="32"/>
        </w:rPr>
      </w:pPr>
      <w:r w:rsidRPr="002E17DA">
        <w:rPr>
          <w:rFonts w:eastAsia="楷体_GB2312"/>
          <w:kern w:val="0"/>
          <w:sz w:val="32"/>
          <w:szCs w:val="32"/>
        </w:rPr>
        <w:t>（三）溶出度</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口服固体常释制剂具有快速溶出的定义是：采用中国药典</w:t>
      </w:r>
      <w:r w:rsidRPr="002E17DA">
        <w:rPr>
          <w:rFonts w:eastAsia="仿宋_GB2312"/>
          <w:sz w:val="32"/>
          <w:szCs w:val="32"/>
        </w:rPr>
        <w:t>2015</w:t>
      </w:r>
      <w:r w:rsidRPr="002E17DA">
        <w:rPr>
          <w:rFonts w:eastAsia="仿宋_GB2312"/>
          <w:sz w:val="32"/>
          <w:szCs w:val="32"/>
        </w:rPr>
        <w:t>版附录通则（</w:t>
      </w:r>
      <w:r w:rsidRPr="002E17DA">
        <w:rPr>
          <w:rFonts w:eastAsia="仿宋_GB2312"/>
          <w:sz w:val="32"/>
          <w:szCs w:val="32"/>
        </w:rPr>
        <w:t>0931</w:t>
      </w:r>
      <w:r w:rsidRPr="002E17DA">
        <w:rPr>
          <w:rFonts w:eastAsia="仿宋_GB2312"/>
          <w:sz w:val="32"/>
          <w:szCs w:val="32"/>
        </w:rPr>
        <w:t>）方法</w:t>
      </w:r>
      <w:r w:rsidRPr="002E17DA">
        <w:rPr>
          <w:rFonts w:eastAsia="仿宋_GB2312"/>
          <w:sz w:val="32"/>
          <w:szCs w:val="32"/>
        </w:rPr>
        <w:t xml:space="preserve">1 </w:t>
      </w:r>
      <w:r w:rsidRPr="002E17DA">
        <w:rPr>
          <w:rFonts w:eastAsia="仿宋_GB2312"/>
          <w:sz w:val="32"/>
          <w:szCs w:val="32"/>
        </w:rPr>
        <w:t>（篮法），转速为每分钟</w:t>
      </w:r>
      <w:r w:rsidRPr="002E17DA">
        <w:rPr>
          <w:rFonts w:eastAsia="仿宋_GB2312"/>
          <w:sz w:val="32"/>
          <w:szCs w:val="32"/>
        </w:rPr>
        <w:t>100</w:t>
      </w:r>
      <w:r w:rsidRPr="002E17DA">
        <w:rPr>
          <w:rFonts w:eastAsia="仿宋_GB2312"/>
          <w:sz w:val="32"/>
          <w:szCs w:val="32"/>
        </w:rPr>
        <w:t>转</w:t>
      </w:r>
      <w:r w:rsidRPr="002E17DA">
        <w:rPr>
          <w:rFonts w:eastAsia="仿宋_GB2312"/>
          <w:sz w:val="32"/>
          <w:szCs w:val="32"/>
        </w:rPr>
        <w:t>,</w:t>
      </w:r>
      <w:r w:rsidRPr="002E17DA">
        <w:rPr>
          <w:rFonts w:eastAsia="仿宋_GB2312"/>
          <w:sz w:val="32"/>
          <w:szCs w:val="32"/>
        </w:rPr>
        <w:t>或是方法</w:t>
      </w:r>
      <w:r w:rsidRPr="002E17DA">
        <w:rPr>
          <w:rFonts w:eastAsia="仿宋_GB2312"/>
          <w:sz w:val="32"/>
          <w:szCs w:val="32"/>
        </w:rPr>
        <w:t>2</w:t>
      </w:r>
      <w:r w:rsidRPr="002E17DA">
        <w:rPr>
          <w:rFonts w:eastAsia="仿宋_GB2312"/>
          <w:sz w:val="32"/>
          <w:szCs w:val="32"/>
        </w:rPr>
        <w:t>（桨法），转速为每分钟</w:t>
      </w:r>
      <w:r w:rsidRPr="002E17DA">
        <w:rPr>
          <w:rFonts w:eastAsia="仿宋_GB2312"/>
          <w:sz w:val="32"/>
          <w:szCs w:val="32"/>
        </w:rPr>
        <w:t>50</w:t>
      </w:r>
      <w:r w:rsidRPr="002E17DA">
        <w:rPr>
          <w:rFonts w:eastAsia="仿宋_GB2312"/>
          <w:sz w:val="32"/>
          <w:szCs w:val="32"/>
        </w:rPr>
        <w:t>或</w:t>
      </w:r>
      <w:r w:rsidRPr="002E17DA">
        <w:rPr>
          <w:rFonts w:eastAsia="仿宋_GB2312"/>
          <w:sz w:val="32"/>
          <w:szCs w:val="32"/>
        </w:rPr>
        <w:t>75</w:t>
      </w:r>
      <w:r w:rsidRPr="002E17DA">
        <w:rPr>
          <w:rFonts w:eastAsia="仿宋_GB2312"/>
          <w:sz w:val="32"/>
          <w:szCs w:val="32"/>
        </w:rPr>
        <w:t>转，溶出介质体积为</w:t>
      </w:r>
      <w:r w:rsidRPr="002E17DA">
        <w:rPr>
          <w:rFonts w:eastAsia="仿宋_GB2312"/>
          <w:sz w:val="32"/>
          <w:szCs w:val="32"/>
        </w:rPr>
        <w:t>500ml</w:t>
      </w:r>
      <w:r w:rsidRPr="002E17DA">
        <w:rPr>
          <w:rFonts w:eastAsia="仿宋_GB2312"/>
          <w:sz w:val="32"/>
          <w:szCs w:val="32"/>
        </w:rPr>
        <w:t>（或更少），在溶出介质：（</w:t>
      </w:r>
      <w:r w:rsidRPr="002E17DA">
        <w:rPr>
          <w:rFonts w:eastAsia="仿宋_GB2312"/>
          <w:sz w:val="32"/>
          <w:szCs w:val="32"/>
        </w:rPr>
        <w:t>1</w:t>
      </w:r>
      <w:r w:rsidRPr="002E17DA">
        <w:rPr>
          <w:rFonts w:eastAsia="仿宋_GB2312"/>
          <w:sz w:val="32"/>
          <w:szCs w:val="32"/>
        </w:rPr>
        <w:t>）</w:t>
      </w:r>
      <w:r w:rsidRPr="002E17DA">
        <w:rPr>
          <w:rFonts w:eastAsia="仿宋_GB2312"/>
          <w:sz w:val="32"/>
          <w:szCs w:val="32"/>
        </w:rPr>
        <w:t xml:space="preserve"> 0.1mol/L </w:t>
      </w:r>
      <w:proofErr w:type="spellStart"/>
      <w:r w:rsidRPr="002E17DA">
        <w:rPr>
          <w:rFonts w:eastAsia="仿宋_GB2312"/>
          <w:sz w:val="32"/>
          <w:szCs w:val="32"/>
        </w:rPr>
        <w:t>HCl</w:t>
      </w:r>
      <w:proofErr w:type="spellEnd"/>
      <w:r w:rsidRPr="002E17DA">
        <w:rPr>
          <w:rFonts w:eastAsia="仿宋_GB2312"/>
          <w:sz w:val="32"/>
          <w:szCs w:val="32"/>
        </w:rPr>
        <w:t>或是不含酶的模拟胃液；（</w:t>
      </w:r>
      <w:r w:rsidRPr="002E17DA">
        <w:rPr>
          <w:rFonts w:eastAsia="仿宋_GB2312"/>
          <w:sz w:val="32"/>
          <w:szCs w:val="32"/>
        </w:rPr>
        <w:t>2</w:t>
      </w:r>
      <w:r w:rsidRPr="002E17DA">
        <w:rPr>
          <w:rFonts w:eastAsia="仿宋_GB2312"/>
          <w:sz w:val="32"/>
          <w:szCs w:val="32"/>
        </w:rPr>
        <w:t>）</w:t>
      </w:r>
      <w:r w:rsidRPr="002E17DA">
        <w:rPr>
          <w:rFonts w:eastAsia="仿宋_GB2312"/>
          <w:sz w:val="32"/>
          <w:szCs w:val="32"/>
        </w:rPr>
        <w:t>pH4.5</w:t>
      </w:r>
      <w:r w:rsidRPr="002E17DA">
        <w:rPr>
          <w:rFonts w:eastAsia="仿宋_GB2312"/>
          <w:sz w:val="32"/>
          <w:szCs w:val="32"/>
        </w:rPr>
        <w:t>缓冲介质；（</w:t>
      </w:r>
      <w:r w:rsidRPr="002E17DA">
        <w:rPr>
          <w:rFonts w:eastAsia="仿宋_GB2312"/>
          <w:sz w:val="32"/>
          <w:szCs w:val="32"/>
        </w:rPr>
        <w:t>3</w:t>
      </w:r>
      <w:r w:rsidRPr="002E17DA">
        <w:rPr>
          <w:rFonts w:eastAsia="仿宋_GB2312"/>
          <w:sz w:val="32"/>
          <w:szCs w:val="32"/>
        </w:rPr>
        <w:t>）</w:t>
      </w:r>
      <w:r w:rsidRPr="002E17DA">
        <w:rPr>
          <w:rFonts w:eastAsia="仿宋_GB2312"/>
          <w:sz w:val="32"/>
          <w:szCs w:val="32"/>
        </w:rPr>
        <w:t>pH6.8</w:t>
      </w:r>
      <w:r w:rsidRPr="002E17DA">
        <w:rPr>
          <w:rFonts w:eastAsia="仿宋_GB2312"/>
          <w:sz w:val="32"/>
          <w:szCs w:val="32"/>
        </w:rPr>
        <w:t>缓冲介质或是不含酶的模拟肠液中，</w:t>
      </w:r>
      <w:r w:rsidRPr="002E17DA">
        <w:rPr>
          <w:rFonts w:eastAsia="仿宋_GB2312"/>
          <w:sz w:val="32"/>
          <w:szCs w:val="32"/>
        </w:rPr>
        <w:t>30</w:t>
      </w:r>
      <w:r w:rsidRPr="002E17DA">
        <w:rPr>
          <w:rFonts w:eastAsia="仿宋_GB2312"/>
          <w:sz w:val="32"/>
          <w:szCs w:val="32"/>
        </w:rPr>
        <w:t>分钟内</w:t>
      </w:r>
      <w:r w:rsidRPr="002E17DA">
        <w:rPr>
          <w:rFonts w:eastAsia="仿宋_GB2312"/>
          <w:sz w:val="32"/>
          <w:szCs w:val="32"/>
        </w:rPr>
        <w:t>API</w:t>
      </w:r>
      <w:r w:rsidRPr="002E17DA">
        <w:rPr>
          <w:rFonts w:eastAsia="仿宋_GB2312"/>
          <w:sz w:val="32"/>
          <w:szCs w:val="32"/>
        </w:rPr>
        <w:t>的溶出均能达到标示量的</w:t>
      </w:r>
      <w:r w:rsidRPr="002E17DA">
        <w:rPr>
          <w:rFonts w:eastAsia="仿宋_GB2312"/>
          <w:sz w:val="32"/>
          <w:szCs w:val="32"/>
        </w:rPr>
        <w:t>85%</w:t>
      </w:r>
      <w:r w:rsidRPr="002E17DA">
        <w:rPr>
          <w:rFonts w:eastAsia="仿宋_GB2312"/>
          <w:sz w:val="32"/>
          <w:szCs w:val="32"/>
        </w:rPr>
        <w:t>以上。</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口服固体常释制剂具有非常快速溶出的定义是：在上述条件下</w:t>
      </w:r>
      <w:r w:rsidRPr="002E17DA">
        <w:rPr>
          <w:rFonts w:eastAsia="仿宋_GB2312"/>
          <w:sz w:val="32"/>
          <w:szCs w:val="32"/>
        </w:rPr>
        <w:t>15</w:t>
      </w:r>
      <w:r w:rsidRPr="002E17DA">
        <w:rPr>
          <w:rFonts w:eastAsia="仿宋_GB2312"/>
          <w:sz w:val="32"/>
          <w:szCs w:val="32"/>
        </w:rPr>
        <w:t>分钟内</w:t>
      </w:r>
      <w:r w:rsidRPr="002E17DA">
        <w:rPr>
          <w:rFonts w:eastAsia="仿宋_GB2312"/>
          <w:sz w:val="32"/>
          <w:szCs w:val="32"/>
        </w:rPr>
        <w:t>API</w:t>
      </w:r>
      <w:r w:rsidRPr="002E17DA">
        <w:rPr>
          <w:rFonts w:eastAsia="仿宋_GB2312"/>
          <w:sz w:val="32"/>
          <w:szCs w:val="32"/>
        </w:rPr>
        <w:t>的溶出均能达到标示量的</w:t>
      </w:r>
      <w:r w:rsidRPr="002E17DA">
        <w:rPr>
          <w:rFonts w:eastAsia="仿宋_GB2312"/>
          <w:sz w:val="32"/>
          <w:szCs w:val="32"/>
        </w:rPr>
        <w:t>85%</w:t>
      </w:r>
      <w:r w:rsidRPr="002E17DA">
        <w:rPr>
          <w:rFonts w:eastAsia="仿宋_GB2312"/>
          <w:sz w:val="32"/>
          <w:szCs w:val="32"/>
        </w:rPr>
        <w:t>以上。</w:t>
      </w:r>
    </w:p>
    <w:p w:rsidR="00052878" w:rsidRPr="002E17DA" w:rsidRDefault="00052878" w:rsidP="00052878">
      <w:pPr>
        <w:pStyle w:val="1"/>
        <w:widowControl/>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根据</w:t>
      </w:r>
      <w:r w:rsidRPr="002E17DA">
        <w:rPr>
          <w:rFonts w:ascii="Times New Roman" w:eastAsia="仿宋_GB2312" w:hAnsi="Times New Roman"/>
          <w:sz w:val="32"/>
          <w:szCs w:val="32"/>
        </w:rPr>
        <w:t>BCS</w:t>
      </w:r>
      <w:r w:rsidRPr="002E17DA">
        <w:rPr>
          <w:rFonts w:ascii="Times New Roman" w:eastAsia="仿宋_GB2312" w:hAnsi="Times New Roman"/>
          <w:sz w:val="32"/>
          <w:szCs w:val="32"/>
        </w:rPr>
        <w:t>分类系统，药品被分为以下四类：</w:t>
      </w:r>
    </w:p>
    <w:p w:rsidR="00052878" w:rsidRPr="002E17DA" w:rsidRDefault="00052878" w:rsidP="00052878">
      <w:pPr>
        <w:widowControl/>
        <w:shd w:val="clear" w:color="auto" w:fill="FFFFFF"/>
        <w:adjustRightInd w:val="0"/>
        <w:snapToGrid w:val="0"/>
        <w:spacing w:line="360" w:lineRule="auto"/>
        <w:ind w:firstLineChars="200" w:firstLine="616"/>
        <w:rPr>
          <w:rFonts w:eastAsia="仿宋_GB2312"/>
          <w:spacing w:val="-6"/>
          <w:sz w:val="32"/>
          <w:szCs w:val="32"/>
        </w:rPr>
      </w:pPr>
      <w:r w:rsidRPr="002E17DA">
        <w:rPr>
          <w:rFonts w:eastAsia="仿宋_GB2312"/>
          <w:spacing w:val="-6"/>
          <w:sz w:val="32"/>
          <w:szCs w:val="32"/>
        </w:rPr>
        <w:t>第一类：高溶解性、高渗透性</w:t>
      </w:r>
      <w:r w:rsidRPr="002E17DA">
        <w:rPr>
          <w:rFonts w:eastAsia="仿宋_GB2312"/>
          <w:sz w:val="32"/>
          <w:szCs w:val="32"/>
        </w:rPr>
        <w:t>（</w:t>
      </w:r>
      <w:r w:rsidRPr="002E17DA">
        <w:rPr>
          <w:rFonts w:eastAsia="仿宋_GB2312"/>
          <w:spacing w:val="-6"/>
          <w:sz w:val="32"/>
          <w:szCs w:val="32"/>
        </w:rPr>
        <w:t>High Solubility- High Permeability</w:t>
      </w:r>
      <w:r w:rsidRPr="002E17DA">
        <w:rPr>
          <w:rFonts w:eastAsia="仿宋_GB2312"/>
          <w:sz w:val="32"/>
          <w:szCs w:val="32"/>
        </w:rPr>
        <w:t>）</w:t>
      </w:r>
    </w:p>
    <w:p w:rsidR="00052878" w:rsidRPr="002E17DA" w:rsidRDefault="00052878" w:rsidP="00052878">
      <w:pPr>
        <w:widowControl/>
        <w:shd w:val="clear" w:color="auto" w:fill="FFFFFF"/>
        <w:adjustRightInd w:val="0"/>
        <w:snapToGrid w:val="0"/>
        <w:spacing w:line="360" w:lineRule="auto"/>
        <w:ind w:firstLineChars="200" w:firstLine="616"/>
        <w:rPr>
          <w:rFonts w:eastAsia="仿宋_GB2312"/>
          <w:spacing w:val="-6"/>
          <w:sz w:val="32"/>
          <w:szCs w:val="32"/>
        </w:rPr>
      </w:pPr>
      <w:r w:rsidRPr="002E17DA">
        <w:rPr>
          <w:rFonts w:eastAsia="仿宋_GB2312"/>
          <w:spacing w:val="-6"/>
          <w:sz w:val="32"/>
          <w:szCs w:val="32"/>
        </w:rPr>
        <w:lastRenderedPageBreak/>
        <w:t>第二类：低溶解性、高渗透性</w:t>
      </w:r>
      <w:r w:rsidRPr="002E17DA">
        <w:rPr>
          <w:rFonts w:eastAsia="仿宋_GB2312"/>
          <w:sz w:val="32"/>
          <w:szCs w:val="32"/>
        </w:rPr>
        <w:t>（</w:t>
      </w:r>
      <w:r w:rsidRPr="002E17DA">
        <w:rPr>
          <w:rFonts w:eastAsia="仿宋_GB2312"/>
          <w:spacing w:val="-6"/>
          <w:sz w:val="32"/>
          <w:szCs w:val="32"/>
        </w:rPr>
        <w:t>Low Solubility-High Permeability</w:t>
      </w:r>
      <w:r w:rsidRPr="002E17DA">
        <w:rPr>
          <w:rFonts w:eastAsia="仿宋_GB2312"/>
          <w:sz w:val="32"/>
          <w:szCs w:val="32"/>
        </w:rPr>
        <w:t>）</w:t>
      </w:r>
    </w:p>
    <w:p w:rsidR="00052878" w:rsidRPr="002E17DA" w:rsidRDefault="00052878" w:rsidP="00052878">
      <w:pPr>
        <w:widowControl/>
        <w:shd w:val="clear" w:color="auto" w:fill="FFFFFF"/>
        <w:adjustRightInd w:val="0"/>
        <w:snapToGrid w:val="0"/>
        <w:spacing w:line="360" w:lineRule="auto"/>
        <w:ind w:firstLineChars="200" w:firstLine="616"/>
        <w:rPr>
          <w:rFonts w:eastAsia="仿宋_GB2312"/>
          <w:spacing w:val="-6"/>
          <w:sz w:val="32"/>
          <w:szCs w:val="32"/>
        </w:rPr>
      </w:pPr>
      <w:r w:rsidRPr="002E17DA">
        <w:rPr>
          <w:rFonts w:eastAsia="仿宋_GB2312"/>
          <w:spacing w:val="-6"/>
          <w:sz w:val="32"/>
          <w:szCs w:val="32"/>
        </w:rPr>
        <w:t>第三类：高溶解性、低渗透性</w:t>
      </w:r>
      <w:r w:rsidRPr="002E17DA">
        <w:rPr>
          <w:rFonts w:eastAsia="仿宋_GB2312"/>
          <w:sz w:val="32"/>
          <w:szCs w:val="32"/>
        </w:rPr>
        <w:t>（</w:t>
      </w:r>
      <w:r w:rsidRPr="002E17DA">
        <w:rPr>
          <w:rFonts w:eastAsia="仿宋_GB2312"/>
          <w:spacing w:val="-6"/>
          <w:sz w:val="32"/>
          <w:szCs w:val="32"/>
        </w:rPr>
        <w:t>High Solubility-Low Permeability</w:t>
      </w:r>
      <w:r w:rsidRPr="002E17DA">
        <w:rPr>
          <w:rFonts w:eastAsia="仿宋_GB2312"/>
          <w:sz w:val="32"/>
          <w:szCs w:val="32"/>
        </w:rPr>
        <w:t>）</w:t>
      </w:r>
    </w:p>
    <w:p w:rsidR="00052878" w:rsidRPr="002E17DA" w:rsidRDefault="00052878" w:rsidP="00052878">
      <w:pPr>
        <w:widowControl/>
        <w:shd w:val="clear" w:color="auto" w:fill="FFFFFF"/>
        <w:adjustRightInd w:val="0"/>
        <w:snapToGrid w:val="0"/>
        <w:spacing w:line="360" w:lineRule="auto"/>
        <w:ind w:firstLineChars="200" w:firstLine="616"/>
        <w:rPr>
          <w:rFonts w:eastAsia="仿宋_GB2312"/>
          <w:spacing w:val="-6"/>
          <w:sz w:val="32"/>
          <w:szCs w:val="32"/>
        </w:rPr>
      </w:pPr>
      <w:r w:rsidRPr="002E17DA">
        <w:rPr>
          <w:rFonts w:eastAsia="仿宋_GB2312"/>
          <w:spacing w:val="-6"/>
          <w:sz w:val="32"/>
          <w:szCs w:val="32"/>
        </w:rPr>
        <w:t>第四类：低溶解性、低渗透性</w:t>
      </w:r>
      <w:r w:rsidRPr="002E17DA">
        <w:rPr>
          <w:rFonts w:eastAsia="仿宋_GB2312"/>
          <w:sz w:val="32"/>
          <w:szCs w:val="32"/>
        </w:rPr>
        <w:t>（</w:t>
      </w:r>
      <w:r w:rsidRPr="002E17DA">
        <w:rPr>
          <w:rFonts w:eastAsia="仿宋_GB2312"/>
          <w:spacing w:val="-6"/>
          <w:sz w:val="32"/>
          <w:szCs w:val="32"/>
        </w:rPr>
        <w:t>Low Solubility-Low Permeability</w:t>
      </w:r>
      <w:r w:rsidRPr="002E17DA">
        <w:rPr>
          <w:rFonts w:eastAsia="仿宋_GB2312"/>
          <w:sz w:val="32"/>
          <w:szCs w:val="32"/>
        </w:rPr>
        <w:t>）</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当口服固体常释制剂在体内的溶出相对于胃排空时间快或非常快，并且具有很高的溶解度时，药物的吸收速率和吸收程度就不会依赖于药物的溶出时间或在胃肠道的通过时间。因此，在这种情况下，对于</w:t>
      </w:r>
      <w:r w:rsidRPr="002E17DA">
        <w:rPr>
          <w:rFonts w:eastAsia="仿宋_GB2312"/>
          <w:sz w:val="32"/>
          <w:szCs w:val="32"/>
        </w:rPr>
        <w:t>BCS</w:t>
      </w:r>
      <w:r w:rsidRPr="002E17DA">
        <w:rPr>
          <w:rFonts w:eastAsia="仿宋_GB2312"/>
          <w:sz w:val="32"/>
          <w:szCs w:val="32"/>
        </w:rPr>
        <w:t>分类</w:t>
      </w:r>
      <w:r w:rsidRPr="002E17DA">
        <w:rPr>
          <w:rFonts w:eastAsia="仿宋_GB2312"/>
          <w:sz w:val="32"/>
          <w:szCs w:val="32"/>
        </w:rPr>
        <w:t>1</w:t>
      </w:r>
      <w:r w:rsidRPr="002E17DA">
        <w:rPr>
          <w:rFonts w:eastAsia="仿宋_GB2312"/>
          <w:sz w:val="32"/>
          <w:szCs w:val="32"/>
        </w:rPr>
        <w:t>类和</w:t>
      </w:r>
      <w:r w:rsidRPr="002E17DA">
        <w:rPr>
          <w:rFonts w:eastAsia="仿宋_GB2312"/>
          <w:sz w:val="32"/>
          <w:szCs w:val="32"/>
        </w:rPr>
        <w:t>3</w:t>
      </w:r>
      <w:r w:rsidRPr="002E17DA">
        <w:rPr>
          <w:rFonts w:eastAsia="仿宋_GB2312"/>
          <w:sz w:val="32"/>
          <w:szCs w:val="32"/>
        </w:rPr>
        <w:t>类的药物，只要处方中的其他辅料成分不显著影响</w:t>
      </w:r>
      <w:r w:rsidRPr="002E17DA">
        <w:rPr>
          <w:rFonts w:eastAsia="仿宋_GB2312"/>
          <w:sz w:val="32"/>
          <w:szCs w:val="32"/>
        </w:rPr>
        <w:t>API</w:t>
      </w:r>
      <w:r w:rsidRPr="002E17DA">
        <w:rPr>
          <w:rFonts w:eastAsia="仿宋_GB2312"/>
          <w:sz w:val="32"/>
          <w:szCs w:val="32"/>
        </w:rPr>
        <w:t>的吸收，则不必证明该药物在体内生物利用度和生物等效的可能性，即生物等效性豁免。</w:t>
      </w:r>
    </w:p>
    <w:p w:rsidR="00052878" w:rsidRPr="002E17DA" w:rsidRDefault="00052878" w:rsidP="00052878">
      <w:pPr>
        <w:pStyle w:val="1"/>
        <w:widowControl/>
        <w:adjustRightInd w:val="0"/>
        <w:snapToGrid w:val="0"/>
        <w:spacing w:line="360" w:lineRule="auto"/>
        <w:ind w:firstLine="640"/>
        <w:rPr>
          <w:rFonts w:ascii="Times New Roman" w:eastAsia="黑体" w:hAnsi="Times New Roman"/>
          <w:sz w:val="32"/>
          <w:szCs w:val="32"/>
        </w:rPr>
      </w:pPr>
      <w:r w:rsidRPr="002E17DA">
        <w:rPr>
          <w:rFonts w:ascii="Times New Roman" w:eastAsia="黑体" w:hAnsi="Times New Roman"/>
          <w:sz w:val="32"/>
          <w:szCs w:val="32"/>
        </w:rPr>
        <w:t>二、基于</w:t>
      </w:r>
      <w:r w:rsidRPr="002E17DA">
        <w:rPr>
          <w:rFonts w:ascii="Times New Roman" w:eastAsia="黑体" w:hAnsi="Times New Roman"/>
          <w:sz w:val="32"/>
          <w:szCs w:val="32"/>
        </w:rPr>
        <w:t>BCS</w:t>
      </w:r>
      <w:r w:rsidRPr="002E17DA">
        <w:rPr>
          <w:rFonts w:ascii="Times New Roman" w:eastAsia="黑体" w:hAnsi="Times New Roman"/>
          <w:sz w:val="32"/>
          <w:szCs w:val="32"/>
        </w:rPr>
        <w:t>的生物等效豁免</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（一）对于</w:t>
      </w:r>
      <w:r w:rsidRPr="002E17DA">
        <w:rPr>
          <w:rFonts w:eastAsia="仿宋_GB2312"/>
          <w:sz w:val="32"/>
          <w:szCs w:val="32"/>
        </w:rPr>
        <w:t>BCS 1</w:t>
      </w:r>
      <w:r w:rsidRPr="002E17DA">
        <w:rPr>
          <w:rFonts w:eastAsia="仿宋_GB2312"/>
          <w:sz w:val="32"/>
          <w:szCs w:val="32"/>
        </w:rPr>
        <w:t>类的药物需要证明以下几点：</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1</w:t>
      </w:r>
      <w:r>
        <w:rPr>
          <w:rFonts w:eastAsia="仿宋_GB2312" w:hint="eastAsia"/>
          <w:sz w:val="32"/>
          <w:szCs w:val="32"/>
        </w:rPr>
        <w:t>．</w:t>
      </w:r>
      <w:r w:rsidRPr="002E17DA">
        <w:rPr>
          <w:rFonts w:eastAsia="仿宋_GB2312"/>
          <w:sz w:val="32"/>
          <w:szCs w:val="32"/>
        </w:rPr>
        <w:t>药物具有高溶解性；</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2</w:t>
      </w:r>
      <w:r>
        <w:rPr>
          <w:rFonts w:eastAsia="仿宋_GB2312" w:hint="eastAsia"/>
          <w:sz w:val="32"/>
          <w:szCs w:val="32"/>
        </w:rPr>
        <w:t>．</w:t>
      </w:r>
      <w:r w:rsidRPr="002E17DA">
        <w:rPr>
          <w:rFonts w:eastAsia="仿宋_GB2312"/>
          <w:sz w:val="32"/>
          <w:szCs w:val="32"/>
        </w:rPr>
        <w:t>药物具有高渗透性；</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3</w:t>
      </w:r>
      <w:r>
        <w:rPr>
          <w:rFonts w:eastAsia="仿宋_GB2312" w:hint="eastAsia"/>
          <w:sz w:val="32"/>
          <w:szCs w:val="32"/>
        </w:rPr>
        <w:t>．</w:t>
      </w:r>
      <w:r w:rsidRPr="002E17DA">
        <w:rPr>
          <w:rFonts w:eastAsia="仿宋_GB2312"/>
          <w:sz w:val="32"/>
          <w:szCs w:val="32"/>
        </w:rPr>
        <w:t>仿制和</w:t>
      </w:r>
      <w:proofErr w:type="gramStart"/>
      <w:r w:rsidRPr="002E17DA">
        <w:rPr>
          <w:rFonts w:eastAsia="仿宋_GB2312"/>
          <w:sz w:val="32"/>
          <w:szCs w:val="32"/>
        </w:rPr>
        <w:t>参比</w:t>
      </w:r>
      <w:proofErr w:type="gramEnd"/>
      <w:r w:rsidRPr="002E17DA">
        <w:rPr>
          <w:rFonts w:eastAsia="仿宋_GB2312"/>
          <w:sz w:val="32"/>
          <w:szCs w:val="32"/>
        </w:rPr>
        <w:t>制剂均为快速溶出，并且制剂中</w:t>
      </w:r>
      <w:proofErr w:type="gramStart"/>
      <w:r w:rsidRPr="002E17DA">
        <w:rPr>
          <w:rFonts w:eastAsia="仿宋_GB2312"/>
          <w:sz w:val="32"/>
          <w:szCs w:val="32"/>
        </w:rPr>
        <w:t>不</w:t>
      </w:r>
      <w:proofErr w:type="gramEnd"/>
      <w:r w:rsidRPr="002E17DA">
        <w:rPr>
          <w:rFonts w:eastAsia="仿宋_GB2312"/>
          <w:sz w:val="32"/>
          <w:szCs w:val="32"/>
        </w:rPr>
        <w:t>含有影响主药成分吸收速率和吸收程度的任何辅料。</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（二）对于</w:t>
      </w:r>
      <w:r w:rsidRPr="002E17DA">
        <w:rPr>
          <w:rFonts w:eastAsia="仿宋_GB2312"/>
          <w:sz w:val="32"/>
          <w:szCs w:val="32"/>
        </w:rPr>
        <w:t>BCS 3</w:t>
      </w:r>
      <w:r w:rsidRPr="002E17DA">
        <w:rPr>
          <w:rFonts w:eastAsia="仿宋_GB2312"/>
          <w:sz w:val="32"/>
          <w:szCs w:val="32"/>
        </w:rPr>
        <w:t>类的药物需要证明以下几点：</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1</w:t>
      </w:r>
      <w:r>
        <w:rPr>
          <w:rFonts w:eastAsia="仿宋_GB2312" w:hint="eastAsia"/>
          <w:sz w:val="32"/>
          <w:szCs w:val="32"/>
        </w:rPr>
        <w:t>．</w:t>
      </w:r>
      <w:r w:rsidRPr="002E17DA">
        <w:rPr>
          <w:rFonts w:eastAsia="仿宋_GB2312"/>
          <w:sz w:val="32"/>
          <w:szCs w:val="32"/>
        </w:rPr>
        <w:t>药物具有高溶解性；</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2</w:t>
      </w:r>
      <w:r>
        <w:rPr>
          <w:rFonts w:eastAsia="仿宋_GB2312" w:hint="eastAsia"/>
          <w:sz w:val="32"/>
          <w:szCs w:val="32"/>
        </w:rPr>
        <w:t>．</w:t>
      </w:r>
      <w:r w:rsidRPr="002E17DA">
        <w:rPr>
          <w:rFonts w:eastAsia="仿宋_GB2312"/>
          <w:sz w:val="32"/>
          <w:szCs w:val="32"/>
        </w:rPr>
        <w:t>仿制和</w:t>
      </w:r>
      <w:proofErr w:type="gramStart"/>
      <w:r w:rsidRPr="002E17DA">
        <w:rPr>
          <w:rFonts w:eastAsia="仿宋_GB2312"/>
          <w:sz w:val="32"/>
          <w:szCs w:val="32"/>
        </w:rPr>
        <w:t>参比</w:t>
      </w:r>
      <w:proofErr w:type="gramEnd"/>
      <w:r w:rsidRPr="002E17DA">
        <w:rPr>
          <w:rFonts w:eastAsia="仿宋_GB2312"/>
          <w:sz w:val="32"/>
          <w:szCs w:val="32"/>
        </w:rPr>
        <w:t>制剂均具有非常快速的溶出；</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lastRenderedPageBreak/>
        <w:t>3</w:t>
      </w:r>
      <w:r>
        <w:rPr>
          <w:rFonts w:eastAsia="仿宋_GB2312" w:hint="eastAsia"/>
          <w:sz w:val="32"/>
          <w:szCs w:val="32"/>
        </w:rPr>
        <w:t>．</w:t>
      </w:r>
      <w:r w:rsidRPr="002E17DA">
        <w:rPr>
          <w:rFonts w:eastAsia="仿宋_GB2312"/>
          <w:sz w:val="32"/>
          <w:szCs w:val="32"/>
        </w:rPr>
        <w:t>仿制制剂和</w:t>
      </w:r>
      <w:proofErr w:type="gramStart"/>
      <w:r w:rsidRPr="002E17DA">
        <w:rPr>
          <w:rFonts w:eastAsia="仿宋_GB2312"/>
          <w:sz w:val="32"/>
          <w:szCs w:val="32"/>
        </w:rPr>
        <w:t>参比</w:t>
      </w:r>
      <w:proofErr w:type="gramEnd"/>
      <w:r w:rsidRPr="002E17DA">
        <w:rPr>
          <w:rFonts w:eastAsia="仿宋_GB2312"/>
          <w:sz w:val="32"/>
          <w:szCs w:val="32"/>
        </w:rPr>
        <w:t>制剂应处方完全相同，各组成用量相似，当放大生产和上市后变更时，制剂处方也应完全相同。对于上市后变更的有关要求参见《已上市化学药品变更研究的技术指导原则</w:t>
      </w:r>
      <w:r>
        <w:rPr>
          <w:rFonts w:eastAsia="仿宋_GB2312" w:hint="eastAsia"/>
          <w:sz w:val="32"/>
          <w:szCs w:val="32"/>
        </w:rPr>
        <w:t>（</w:t>
      </w:r>
      <w:r w:rsidRPr="002E17DA">
        <w:rPr>
          <w:rFonts w:eastAsia="仿宋_GB2312"/>
          <w:sz w:val="32"/>
          <w:szCs w:val="32"/>
        </w:rPr>
        <w:t>一</w:t>
      </w:r>
      <w:r>
        <w:rPr>
          <w:rFonts w:eastAsia="仿宋_GB2312" w:hint="eastAsia"/>
          <w:sz w:val="32"/>
          <w:szCs w:val="32"/>
        </w:rPr>
        <w:t>）</w:t>
      </w:r>
      <w:r w:rsidRPr="002E17DA">
        <w:rPr>
          <w:rFonts w:eastAsia="仿宋_GB2312"/>
          <w:sz w:val="32"/>
          <w:szCs w:val="32"/>
        </w:rPr>
        <w:t>》相关内容。</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（三）对于处方相同，活性成分及辅料成相似比例的不同规格同种样品，通常高剂量规格已做过</w:t>
      </w:r>
      <w:r w:rsidRPr="002E17DA">
        <w:rPr>
          <w:rFonts w:eastAsia="仿宋_GB2312"/>
          <w:sz w:val="32"/>
          <w:szCs w:val="32"/>
        </w:rPr>
        <w:t>BE</w:t>
      </w:r>
      <w:r w:rsidRPr="002E17DA">
        <w:rPr>
          <w:rFonts w:eastAsia="仿宋_GB2312"/>
          <w:sz w:val="32"/>
          <w:szCs w:val="32"/>
        </w:rPr>
        <w:t>试验的，低剂量规格可申请免做</w:t>
      </w:r>
      <w:r w:rsidRPr="002E17DA">
        <w:rPr>
          <w:rFonts w:eastAsia="仿宋_GB2312"/>
          <w:sz w:val="32"/>
          <w:szCs w:val="32"/>
        </w:rPr>
        <w:t>BE</w:t>
      </w:r>
      <w:r w:rsidRPr="002E17DA">
        <w:rPr>
          <w:rFonts w:eastAsia="仿宋_GB2312"/>
          <w:sz w:val="32"/>
          <w:szCs w:val="32"/>
        </w:rPr>
        <w:t>试验，有些品种由于安全性等原因，</w:t>
      </w:r>
      <w:r w:rsidRPr="002E17DA">
        <w:rPr>
          <w:rFonts w:eastAsia="仿宋_GB2312"/>
          <w:kern w:val="0"/>
          <w:sz w:val="32"/>
          <w:szCs w:val="32"/>
        </w:rPr>
        <w:t>可选择较低剂量规格进行体内生物等效性试验，不同品种有所差异，具体选择</w:t>
      </w:r>
      <w:r w:rsidRPr="002E17DA">
        <w:rPr>
          <w:rFonts w:eastAsia="仿宋_GB2312"/>
          <w:sz w:val="32"/>
          <w:szCs w:val="32"/>
        </w:rPr>
        <w:t>要求参见《以药动学参数为终点评价指标的化学药物仿制药人体生物等效性研究技术指导原则》相关内容。</w:t>
      </w:r>
    </w:p>
    <w:p w:rsidR="00052878" w:rsidRPr="002E17DA" w:rsidRDefault="00052878" w:rsidP="00052878">
      <w:pPr>
        <w:pStyle w:val="1"/>
        <w:widowControl/>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（四）生物等效豁免申请的其他影响因素</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sz w:val="32"/>
          <w:szCs w:val="32"/>
        </w:rPr>
      </w:pPr>
      <w:r w:rsidRPr="002E17DA">
        <w:rPr>
          <w:rFonts w:eastAsia="仿宋_GB2312"/>
          <w:sz w:val="32"/>
          <w:szCs w:val="32"/>
        </w:rPr>
        <w:t>当一个口服固体常释制剂申请基于</w:t>
      </w:r>
      <w:r w:rsidRPr="002E17DA">
        <w:rPr>
          <w:rFonts w:eastAsia="仿宋_GB2312"/>
          <w:sz w:val="32"/>
          <w:szCs w:val="32"/>
        </w:rPr>
        <w:t>BCS</w:t>
      </w:r>
      <w:r w:rsidRPr="002E17DA">
        <w:rPr>
          <w:rFonts w:eastAsia="仿宋_GB2312"/>
          <w:sz w:val="32"/>
          <w:szCs w:val="32"/>
        </w:rPr>
        <w:t>分类的生物等效性豁免时，应注意以下因素可能影响生物等效豁免：</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1</w:t>
      </w:r>
      <w:r>
        <w:rPr>
          <w:rFonts w:ascii="Times New Roman" w:eastAsia="仿宋_GB2312" w:hAnsi="Times New Roman" w:hint="eastAsia"/>
          <w:sz w:val="32"/>
          <w:szCs w:val="32"/>
        </w:rPr>
        <w:t>．</w:t>
      </w:r>
      <w:r w:rsidRPr="002E17DA">
        <w:rPr>
          <w:rFonts w:ascii="Times New Roman" w:eastAsia="仿宋_GB2312" w:hAnsi="Times New Roman"/>
          <w:sz w:val="32"/>
          <w:szCs w:val="32"/>
        </w:rPr>
        <w:t>辅料</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BCS1</w:t>
      </w:r>
      <w:r w:rsidRPr="002E17DA">
        <w:rPr>
          <w:rFonts w:ascii="Times New Roman" w:eastAsia="仿宋_GB2312" w:hAnsi="Times New Roman"/>
          <w:sz w:val="32"/>
          <w:szCs w:val="32"/>
        </w:rPr>
        <w:t>类药物：辅料有时候可能会影响药物的吸收速率和吸收程度。一般来说使用国家食品药品监督管理总局已经批准的常释制剂常用辅料，对于</w:t>
      </w:r>
      <w:r w:rsidRPr="002E17DA">
        <w:rPr>
          <w:rFonts w:ascii="Times New Roman" w:eastAsia="仿宋_GB2312" w:hAnsi="Times New Roman"/>
          <w:sz w:val="32"/>
          <w:szCs w:val="32"/>
        </w:rPr>
        <w:t>BCS1</w:t>
      </w:r>
      <w:r w:rsidRPr="002E17DA">
        <w:rPr>
          <w:rFonts w:ascii="Times New Roman" w:eastAsia="仿宋_GB2312" w:hAnsi="Times New Roman"/>
          <w:sz w:val="32"/>
          <w:szCs w:val="32"/>
        </w:rPr>
        <w:t>类快速溶出的常释制剂的药物吸收速率和吸收程度不会有影响。为了支持生物等效豁免，常释制剂中辅料的用量应该和该辅料在处方中对应的功能保持一致（比如润滑剂）。</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lastRenderedPageBreak/>
        <w:t>当使用新的辅料，或者非常规的大量使用常释制剂常用辅料，要补充提交该辅料的使用没有影响制剂生物利用度的证明资料。可以通过将简单的水溶液作为参比制剂来开展生物利用度研究。大量使用特定的辅料，例如表面活性剂（如聚</w:t>
      </w:r>
      <w:proofErr w:type="gramStart"/>
      <w:r w:rsidRPr="002E17DA">
        <w:rPr>
          <w:rFonts w:ascii="Times New Roman" w:eastAsia="仿宋_GB2312" w:hAnsi="Times New Roman"/>
          <w:sz w:val="32"/>
          <w:szCs w:val="32"/>
        </w:rPr>
        <w:t>山梨醇酯</w:t>
      </w:r>
      <w:proofErr w:type="gramEnd"/>
      <w:r w:rsidRPr="002E17DA">
        <w:rPr>
          <w:rFonts w:ascii="Times New Roman" w:eastAsia="仿宋_GB2312" w:hAnsi="Times New Roman"/>
          <w:sz w:val="32"/>
          <w:szCs w:val="32"/>
        </w:rPr>
        <w:t>80</w:t>
      </w:r>
      <w:r w:rsidRPr="002E17DA">
        <w:rPr>
          <w:rFonts w:ascii="Times New Roman" w:eastAsia="仿宋_GB2312" w:hAnsi="Times New Roman"/>
          <w:sz w:val="32"/>
          <w:szCs w:val="32"/>
        </w:rPr>
        <w:t>）和甜味剂（如甘露醇或山梨</w:t>
      </w:r>
      <w:proofErr w:type="gramStart"/>
      <w:r w:rsidRPr="002E17DA">
        <w:rPr>
          <w:rFonts w:ascii="Times New Roman" w:eastAsia="仿宋_GB2312" w:hAnsi="Times New Roman"/>
          <w:sz w:val="32"/>
          <w:szCs w:val="32"/>
        </w:rPr>
        <w:t>醇</w:t>
      </w:r>
      <w:proofErr w:type="gramEnd"/>
      <w:r w:rsidRPr="002E17DA">
        <w:rPr>
          <w:rFonts w:ascii="Times New Roman" w:eastAsia="仿宋_GB2312" w:hAnsi="Times New Roman"/>
          <w:sz w:val="32"/>
          <w:szCs w:val="32"/>
        </w:rPr>
        <w:t>），可能会有问题。</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sz w:val="32"/>
          <w:szCs w:val="32"/>
        </w:rPr>
      </w:pPr>
      <w:r w:rsidRPr="002E17DA">
        <w:rPr>
          <w:rFonts w:eastAsia="仿宋_GB2312"/>
          <w:sz w:val="32"/>
          <w:szCs w:val="32"/>
        </w:rPr>
        <w:t>BCS3</w:t>
      </w:r>
      <w:r w:rsidRPr="002E17DA">
        <w:rPr>
          <w:rFonts w:eastAsia="仿宋_GB2312"/>
          <w:sz w:val="32"/>
          <w:szCs w:val="32"/>
        </w:rPr>
        <w:t>类药物：该类药物和</w:t>
      </w:r>
      <w:r w:rsidRPr="002E17DA">
        <w:rPr>
          <w:rFonts w:eastAsia="仿宋_GB2312"/>
          <w:sz w:val="32"/>
          <w:szCs w:val="32"/>
        </w:rPr>
        <w:t>BCS1</w:t>
      </w:r>
      <w:r w:rsidRPr="002E17DA">
        <w:rPr>
          <w:rFonts w:eastAsia="仿宋_GB2312"/>
          <w:sz w:val="32"/>
          <w:szCs w:val="32"/>
        </w:rPr>
        <w:t>类药物不同，如果想要申请生物等效豁免，必须有更充分的科学依据。</w:t>
      </w:r>
      <w:r w:rsidRPr="002E17DA">
        <w:rPr>
          <w:rFonts w:eastAsia="仿宋_GB2312"/>
          <w:sz w:val="32"/>
          <w:szCs w:val="32"/>
        </w:rPr>
        <w:t>BCS3</w:t>
      </w:r>
      <w:r w:rsidRPr="002E17DA">
        <w:rPr>
          <w:rFonts w:eastAsia="仿宋_GB2312"/>
          <w:sz w:val="32"/>
          <w:szCs w:val="32"/>
        </w:rPr>
        <w:t>类药物制剂必须与参比制剂含有相同的辅料组成。这主要是考虑辅料可能对低渗透性药物的吸收影响更显著。因此，仿制制剂的辅料种类必须与参比制剂完全相同，辅料的用量应与参比制剂相似或相同。</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2</w:t>
      </w:r>
      <w:r>
        <w:rPr>
          <w:rFonts w:ascii="Times New Roman" w:eastAsia="仿宋_GB2312" w:hAnsi="Times New Roman" w:hint="eastAsia"/>
          <w:sz w:val="32"/>
          <w:szCs w:val="32"/>
        </w:rPr>
        <w:t>．</w:t>
      </w:r>
      <w:r w:rsidRPr="002E17DA">
        <w:rPr>
          <w:rFonts w:ascii="Times New Roman" w:eastAsia="仿宋_GB2312" w:hAnsi="Times New Roman"/>
          <w:sz w:val="32"/>
          <w:szCs w:val="32"/>
        </w:rPr>
        <w:t>前药（</w:t>
      </w:r>
      <w:proofErr w:type="spellStart"/>
      <w:r w:rsidRPr="002E17DA">
        <w:rPr>
          <w:rFonts w:ascii="Times New Roman" w:eastAsia="仿宋_GB2312" w:hAnsi="Times New Roman"/>
          <w:sz w:val="32"/>
          <w:szCs w:val="32"/>
        </w:rPr>
        <w:t>Prodrugs</w:t>
      </w:r>
      <w:proofErr w:type="spellEnd"/>
      <w:r w:rsidRPr="002E17DA">
        <w:rPr>
          <w:rFonts w:ascii="Times New Roman" w:eastAsia="仿宋_GB2312" w:hAnsi="Times New Roman"/>
          <w:sz w:val="32"/>
          <w:szCs w:val="32"/>
        </w:rPr>
        <w:t>）</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前药的渗透性通常取决于转化药物的机理和（解剖学上的）部位。若药物前体</w:t>
      </w:r>
      <w:r w:rsidRPr="002E17DA">
        <w:rPr>
          <w:rFonts w:ascii="Times New Roman" w:eastAsia="仿宋_GB2312" w:hAnsi="Times New Roman"/>
          <w:sz w:val="32"/>
          <w:szCs w:val="32"/>
        </w:rPr>
        <w:t>-</w:t>
      </w:r>
      <w:r w:rsidRPr="002E17DA">
        <w:rPr>
          <w:rFonts w:ascii="Times New Roman" w:eastAsia="仿宋_GB2312" w:hAnsi="Times New Roman"/>
          <w:sz w:val="32"/>
          <w:szCs w:val="32"/>
        </w:rPr>
        <w:t>药物的转化主要表现在肠道膜渗透之后，则应测定该药物前体的渗透性。若转化表现在肠道膜渗透之前，则应测定该药物的渗透性。药物前体和药物的溶出、</w:t>
      </w:r>
      <w:r w:rsidRPr="002E17DA">
        <w:rPr>
          <w:rFonts w:ascii="Times New Roman" w:eastAsia="仿宋_GB2312" w:hAnsi="Times New Roman"/>
          <w:sz w:val="32"/>
          <w:szCs w:val="32"/>
        </w:rPr>
        <w:t>pH</w:t>
      </w:r>
      <w:r w:rsidRPr="002E17DA">
        <w:rPr>
          <w:rFonts w:ascii="Times New Roman" w:eastAsia="仿宋_GB2312" w:hAnsi="Times New Roman"/>
          <w:sz w:val="32"/>
          <w:szCs w:val="32"/>
        </w:rPr>
        <w:t>溶解度数据也应与之相关。</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3</w:t>
      </w:r>
      <w:r>
        <w:rPr>
          <w:rFonts w:ascii="Times New Roman" w:eastAsia="仿宋_GB2312" w:hAnsi="Times New Roman" w:hint="eastAsia"/>
          <w:sz w:val="32"/>
          <w:szCs w:val="32"/>
        </w:rPr>
        <w:t>．</w:t>
      </w:r>
      <w:r w:rsidRPr="002E17DA">
        <w:rPr>
          <w:rFonts w:ascii="Times New Roman" w:eastAsia="仿宋_GB2312" w:hAnsi="Times New Roman"/>
          <w:sz w:val="32"/>
          <w:szCs w:val="32"/>
        </w:rPr>
        <w:t>复方制剂</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当口服固体常释的复方制剂中各活性组分均为</w:t>
      </w:r>
      <w:r w:rsidRPr="002E17DA">
        <w:rPr>
          <w:rFonts w:ascii="Times New Roman" w:eastAsia="仿宋_GB2312" w:hAnsi="Times New Roman"/>
          <w:sz w:val="32"/>
          <w:szCs w:val="32"/>
        </w:rPr>
        <w:t>BCS1</w:t>
      </w:r>
      <w:r w:rsidRPr="002E17DA">
        <w:rPr>
          <w:rFonts w:ascii="Times New Roman" w:eastAsia="仿宋_GB2312" w:hAnsi="Times New Roman"/>
          <w:sz w:val="32"/>
          <w:szCs w:val="32"/>
        </w:rPr>
        <w:t>类药物，可按</w:t>
      </w:r>
      <w:r w:rsidRPr="002E17DA">
        <w:rPr>
          <w:rFonts w:ascii="Times New Roman" w:eastAsia="仿宋_GB2312" w:hAnsi="Times New Roman"/>
          <w:sz w:val="32"/>
          <w:szCs w:val="32"/>
        </w:rPr>
        <w:t>BCS1</w:t>
      </w:r>
      <w:r w:rsidRPr="002E17DA">
        <w:rPr>
          <w:rFonts w:ascii="Times New Roman" w:eastAsia="仿宋_GB2312" w:hAnsi="Times New Roman"/>
          <w:sz w:val="32"/>
          <w:szCs w:val="32"/>
        </w:rPr>
        <w:t>类药物要求申请生物豁免，但应证明各组分之间以及各组分与所有辅料之间没有药物代谢动力学相互</w:t>
      </w:r>
      <w:r w:rsidRPr="002E17DA">
        <w:rPr>
          <w:rFonts w:ascii="Times New Roman" w:eastAsia="仿宋_GB2312" w:hAnsi="Times New Roman"/>
          <w:sz w:val="32"/>
          <w:szCs w:val="32"/>
        </w:rPr>
        <w:lastRenderedPageBreak/>
        <w:t>作用，否则不能申请豁免。当口服固体常释的复方制剂中各组分均为</w:t>
      </w:r>
      <w:r w:rsidRPr="002E17DA">
        <w:rPr>
          <w:rFonts w:ascii="Times New Roman" w:eastAsia="仿宋_GB2312" w:hAnsi="Times New Roman"/>
          <w:sz w:val="32"/>
          <w:szCs w:val="32"/>
        </w:rPr>
        <w:t>BCS3</w:t>
      </w:r>
      <w:r w:rsidRPr="002E17DA">
        <w:rPr>
          <w:rFonts w:ascii="Times New Roman" w:eastAsia="仿宋_GB2312" w:hAnsi="Times New Roman"/>
          <w:sz w:val="32"/>
          <w:szCs w:val="32"/>
        </w:rPr>
        <w:t>类药物或有</w:t>
      </w:r>
      <w:r w:rsidRPr="002E17DA">
        <w:rPr>
          <w:rFonts w:ascii="Times New Roman" w:eastAsia="仿宋_GB2312" w:hAnsi="Times New Roman"/>
          <w:sz w:val="32"/>
          <w:szCs w:val="32"/>
        </w:rPr>
        <w:t>BCS1</w:t>
      </w:r>
      <w:r w:rsidRPr="002E17DA">
        <w:rPr>
          <w:rFonts w:ascii="Times New Roman" w:eastAsia="仿宋_GB2312" w:hAnsi="Times New Roman"/>
          <w:sz w:val="32"/>
          <w:szCs w:val="32"/>
        </w:rPr>
        <w:t>类和</w:t>
      </w:r>
      <w:r w:rsidRPr="002E17DA">
        <w:rPr>
          <w:rFonts w:ascii="Times New Roman" w:eastAsia="仿宋_GB2312" w:hAnsi="Times New Roman"/>
          <w:sz w:val="32"/>
          <w:szCs w:val="32"/>
        </w:rPr>
        <w:t>BCS3</w:t>
      </w:r>
      <w:r w:rsidRPr="002E17DA">
        <w:rPr>
          <w:rFonts w:ascii="Times New Roman" w:eastAsia="仿宋_GB2312" w:hAnsi="Times New Roman"/>
          <w:sz w:val="32"/>
          <w:szCs w:val="32"/>
        </w:rPr>
        <w:t>药物，应按</w:t>
      </w:r>
      <w:r w:rsidRPr="002E17DA">
        <w:rPr>
          <w:rFonts w:ascii="Times New Roman" w:eastAsia="仿宋_GB2312" w:hAnsi="Times New Roman"/>
          <w:sz w:val="32"/>
          <w:szCs w:val="32"/>
        </w:rPr>
        <w:t>BCS3</w:t>
      </w:r>
      <w:r w:rsidRPr="002E17DA">
        <w:rPr>
          <w:rFonts w:ascii="Times New Roman" w:eastAsia="仿宋_GB2312" w:hAnsi="Times New Roman"/>
          <w:sz w:val="32"/>
          <w:szCs w:val="32"/>
        </w:rPr>
        <w:t>类药物要求申请生物豁免，除证明各组分之间无药物代谢动力学相互作用外，还应证明所有辅料为国家食品药品监督管理总局已经批准的常释制剂常用辅料。</w:t>
      </w:r>
    </w:p>
    <w:p w:rsidR="00052878" w:rsidRPr="002E17DA" w:rsidRDefault="00052878" w:rsidP="00052878">
      <w:pPr>
        <w:pStyle w:val="1"/>
        <w:widowControl/>
        <w:autoSpaceDE w:val="0"/>
        <w:autoSpaceDN w:val="0"/>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4</w:t>
      </w:r>
      <w:r>
        <w:rPr>
          <w:rFonts w:ascii="Times New Roman" w:eastAsia="仿宋_GB2312" w:hAnsi="Times New Roman" w:hint="eastAsia"/>
          <w:sz w:val="32"/>
          <w:szCs w:val="32"/>
        </w:rPr>
        <w:t>．</w:t>
      </w:r>
      <w:r w:rsidRPr="002E17DA">
        <w:rPr>
          <w:rFonts w:ascii="Times New Roman" w:eastAsia="仿宋_GB2312" w:hAnsi="Times New Roman"/>
          <w:sz w:val="32"/>
          <w:szCs w:val="32"/>
        </w:rPr>
        <w:t>基于</w:t>
      </w:r>
      <w:r w:rsidRPr="002E17DA">
        <w:rPr>
          <w:rFonts w:ascii="Times New Roman" w:eastAsia="仿宋_GB2312" w:hAnsi="Times New Roman"/>
          <w:sz w:val="32"/>
          <w:szCs w:val="32"/>
        </w:rPr>
        <w:t xml:space="preserve">BCS </w:t>
      </w:r>
      <w:r w:rsidRPr="002E17DA">
        <w:rPr>
          <w:rFonts w:ascii="Times New Roman" w:eastAsia="仿宋_GB2312" w:hAnsi="Times New Roman"/>
          <w:sz w:val="32"/>
          <w:szCs w:val="32"/>
        </w:rPr>
        <w:t>的生物豁免对下列情况不适用：</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w:t>
      </w:r>
      <w:r w:rsidRPr="002E17DA">
        <w:rPr>
          <w:rFonts w:eastAsia="仿宋_GB2312"/>
          <w:sz w:val="32"/>
          <w:szCs w:val="32"/>
        </w:rPr>
        <w:t>1</w:t>
      </w:r>
      <w:r w:rsidRPr="002E17DA">
        <w:rPr>
          <w:rFonts w:eastAsia="仿宋_GB2312"/>
          <w:sz w:val="32"/>
          <w:szCs w:val="32"/>
        </w:rPr>
        <w:t>）治疗范围狭窄的药品</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sz w:val="32"/>
          <w:szCs w:val="32"/>
        </w:rPr>
      </w:pPr>
      <w:r w:rsidRPr="002E17DA">
        <w:rPr>
          <w:rFonts w:eastAsia="仿宋_GB2312"/>
          <w:sz w:val="32"/>
          <w:szCs w:val="32"/>
        </w:rPr>
        <w:t>受治疗药物浓度或药效监控的制约，按狭窄的治疗范围设计的制剂，不适用生物等效性豁免。如：地高辛、锂制剂、苯妥英、茶碱和华法林阻凝剂。</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w:t>
      </w:r>
      <w:r w:rsidRPr="002E17DA">
        <w:rPr>
          <w:rFonts w:eastAsia="仿宋_GB2312"/>
          <w:sz w:val="32"/>
          <w:szCs w:val="32"/>
        </w:rPr>
        <w:t>2</w:t>
      </w:r>
      <w:r w:rsidRPr="002E17DA">
        <w:rPr>
          <w:rFonts w:eastAsia="仿宋_GB2312"/>
          <w:sz w:val="32"/>
          <w:szCs w:val="32"/>
        </w:rPr>
        <w:t>）口腔吸收制剂</w:t>
      </w:r>
    </w:p>
    <w:p w:rsidR="00052878" w:rsidRPr="002E17DA" w:rsidRDefault="00052878" w:rsidP="00052878">
      <w:pPr>
        <w:widowControl/>
        <w:adjustRightInd w:val="0"/>
        <w:snapToGrid w:val="0"/>
        <w:spacing w:line="360" w:lineRule="auto"/>
        <w:ind w:firstLineChars="200" w:firstLine="640"/>
        <w:rPr>
          <w:rFonts w:eastAsia="仿宋_GB2312"/>
          <w:sz w:val="32"/>
          <w:szCs w:val="32"/>
        </w:rPr>
      </w:pPr>
      <w:r w:rsidRPr="002E17DA">
        <w:rPr>
          <w:rFonts w:eastAsia="仿宋_GB2312"/>
          <w:sz w:val="32"/>
          <w:szCs w:val="32"/>
        </w:rPr>
        <w:t>由于</w:t>
      </w:r>
      <w:r w:rsidRPr="002E17DA">
        <w:rPr>
          <w:rFonts w:eastAsia="仿宋_GB2312"/>
          <w:sz w:val="32"/>
          <w:szCs w:val="32"/>
        </w:rPr>
        <w:t>BCS</w:t>
      </w:r>
      <w:r w:rsidRPr="002E17DA">
        <w:rPr>
          <w:rFonts w:eastAsia="仿宋_GB2312"/>
          <w:sz w:val="32"/>
          <w:szCs w:val="32"/>
        </w:rPr>
        <w:t>分类是基于胃肠粘膜的渗透和吸收，因此不适用于口腔吸收制剂，如：类似舌下片或颊下片的制剂。对于口含片、口腔崩解片等，如果该制剂从口腔吸收也不适用。</w:t>
      </w:r>
    </w:p>
    <w:p w:rsidR="00052878" w:rsidRPr="002E17DA" w:rsidRDefault="00052878" w:rsidP="00052878">
      <w:pPr>
        <w:pStyle w:val="1"/>
        <w:widowControl/>
        <w:adjustRightInd w:val="0"/>
        <w:snapToGrid w:val="0"/>
        <w:spacing w:line="360" w:lineRule="auto"/>
        <w:ind w:firstLine="640"/>
        <w:rPr>
          <w:rFonts w:ascii="Times New Roman" w:eastAsia="黑体" w:hAnsi="Times New Roman"/>
          <w:sz w:val="32"/>
          <w:szCs w:val="32"/>
        </w:rPr>
      </w:pPr>
      <w:r w:rsidRPr="002E17DA">
        <w:rPr>
          <w:rFonts w:ascii="Times New Roman" w:eastAsia="黑体" w:hAnsi="Times New Roman"/>
          <w:sz w:val="32"/>
          <w:szCs w:val="32"/>
        </w:rPr>
        <w:t>三、申请生物等效豁免应提供的资料</w:t>
      </w:r>
    </w:p>
    <w:p w:rsidR="00052878" w:rsidRPr="002E17DA" w:rsidRDefault="00052878" w:rsidP="00052878">
      <w:pPr>
        <w:widowControl/>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t>（一）高溶解性的数据支持（或文献资料）</w:t>
      </w:r>
    </w:p>
    <w:p w:rsidR="00052878" w:rsidRPr="002E17DA" w:rsidRDefault="00052878" w:rsidP="00052878">
      <w:pPr>
        <w:pStyle w:val="1"/>
        <w:widowControl/>
        <w:shd w:val="clear" w:color="auto" w:fill="FFFFFF"/>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1.</w:t>
      </w:r>
      <w:r w:rsidRPr="002E17DA">
        <w:rPr>
          <w:rFonts w:ascii="Times New Roman" w:eastAsia="仿宋_GB2312" w:hAnsi="Times New Roman"/>
          <w:sz w:val="32"/>
          <w:szCs w:val="32"/>
        </w:rPr>
        <w:t>测定方法的描述，包括分析方法和缓冲溶液的组成信息。</w:t>
      </w:r>
    </w:p>
    <w:p w:rsidR="00052878" w:rsidRPr="002E17DA" w:rsidRDefault="00052878" w:rsidP="00052878">
      <w:pPr>
        <w:pStyle w:val="1"/>
        <w:widowControl/>
        <w:shd w:val="clear" w:color="auto" w:fill="FFFFFF"/>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2.</w:t>
      </w:r>
      <w:r w:rsidRPr="002E17DA">
        <w:rPr>
          <w:rFonts w:ascii="Times New Roman" w:eastAsia="仿宋_GB2312" w:hAnsi="Times New Roman"/>
          <w:sz w:val="32"/>
          <w:szCs w:val="32"/>
        </w:rPr>
        <w:t>原料药的化学结构，分子量，性质（酸、碱、两性或中性）和解离常数（</w:t>
      </w:r>
      <w:proofErr w:type="spellStart"/>
      <w:r w:rsidRPr="002E17DA">
        <w:rPr>
          <w:rFonts w:ascii="Times New Roman" w:eastAsia="仿宋_GB2312" w:hAnsi="Times New Roman"/>
          <w:sz w:val="32"/>
          <w:szCs w:val="32"/>
        </w:rPr>
        <w:t>pKa</w:t>
      </w:r>
      <w:proofErr w:type="spellEnd"/>
      <w:r w:rsidRPr="002E17DA">
        <w:rPr>
          <w:rFonts w:ascii="Times New Roman" w:eastAsia="仿宋_GB2312" w:hAnsi="Times New Roman"/>
          <w:sz w:val="32"/>
          <w:szCs w:val="32"/>
        </w:rPr>
        <w:t>）。</w:t>
      </w:r>
    </w:p>
    <w:p w:rsidR="00052878" w:rsidRPr="002E17DA" w:rsidRDefault="00052878" w:rsidP="00052878">
      <w:pPr>
        <w:pStyle w:val="1"/>
        <w:widowControl/>
        <w:shd w:val="clear" w:color="auto" w:fill="FFFFFF"/>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lastRenderedPageBreak/>
        <w:t>3.</w:t>
      </w:r>
      <w:r w:rsidRPr="002E17DA">
        <w:rPr>
          <w:rFonts w:ascii="Times New Roman" w:eastAsia="仿宋_GB2312" w:hAnsi="Times New Roman"/>
          <w:sz w:val="32"/>
          <w:szCs w:val="32"/>
        </w:rPr>
        <w:t>测试结果（平均值、标准偏差、变异系数）以表格的形式汇总，不同</w:t>
      </w:r>
      <w:r w:rsidRPr="002E17DA">
        <w:rPr>
          <w:rFonts w:ascii="Times New Roman" w:eastAsia="仿宋_GB2312" w:hAnsi="Times New Roman"/>
          <w:sz w:val="32"/>
          <w:szCs w:val="32"/>
        </w:rPr>
        <w:t>pH</w:t>
      </w:r>
      <w:r w:rsidRPr="002E17DA">
        <w:rPr>
          <w:rFonts w:ascii="Times New Roman" w:eastAsia="仿宋_GB2312" w:hAnsi="Times New Roman"/>
          <w:sz w:val="32"/>
          <w:szCs w:val="32"/>
        </w:rPr>
        <w:t>溶液、药物溶解度（如</w:t>
      </w:r>
      <w:r w:rsidRPr="002E17DA">
        <w:rPr>
          <w:rFonts w:ascii="Times New Roman" w:eastAsia="仿宋_GB2312" w:hAnsi="Times New Roman"/>
          <w:sz w:val="32"/>
          <w:szCs w:val="32"/>
        </w:rPr>
        <w:t>mg/ml</w:t>
      </w:r>
      <w:r w:rsidRPr="002E17DA">
        <w:rPr>
          <w:rFonts w:ascii="Times New Roman" w:eastAsia="仿宋_GB2312" w:hAnsi="Times New Roman"/>
          <w:sz w:val="32"/>
          <w:szCs w:val="32"/>
        </w:rPr>
        <w:t>）以及溶解最大规格需要的介质体积。</w:t>
      </w:r>
    </w:p>
    <w:p w:rsidR="00052878" w:rsidRPr="002E17DA" w:rsidRDefault="00052878" w:rsidP="00052878">
      <w:pPr>
        <w:pStyle w:val="1"/>
        <w:widowControl/>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4.pH-</w:t>
      </w:r>
      <w:r w:rsidRPr="002E17DA">
        <w:rPr>
          <w:rFonts w:ascii="Times New Roman" w:eastAsia="仿宋_GB2312" w:hAnsi="Times New Roman"/>
          <w:sz w:val="32"/>
          <w:szCs w:val="32"/>
        </w:rPr>
        <w:t>溶解度的曲线图</w:t>
      </w:r>
    </w:p>
    <w:p w:rsidR="00052878" w:rsidRPr="002E17DA" w:rsidRDefault="00052878" w:rsidP="00052878">
      <w:pPr>
        <w:widowControl/>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t>（二）高渗透性的数据支持</w:t>
      </w:r>
      <w:r w:rsidRPr="002E17DA">
        <w:rPr>
          <w:rFonts w:eastAsia="楷体_GB2312" w:hint="eastAsia"/>
          <w:bCs/>
          <w:kern w:val="0"/>
          <w:sz w:val="32"/>
          <w:szCs w:val="32"/>
        </w:rPr>
        <w:t>（</w:t>
      </w:r>
      <w:r w:rsidRPr="002E17DA">
        <w:rPr>
          <w:rFonts w:eastAsia="楷体_GB2312"/>
          <w:bCs/>
          <w:kern w:val="0"/>
          <w:sz w:val="32"/>
          <w:szCs w:val="32"/>
        </w:rPr>
        <w:t>或文献资料</w:t>
      </w:r>
      <w:r w:rsidRPr="002E17DA">
        <w:rPr>
          <w:rFonts w:eastAsia="楷体_GB2312" w:hint="eastAsia"/>
          <w:bCs/>
          <w:kern w:val="0"/>
          <w:sz w:val="32"/>
          <w:szCs w:val="32"/>
        </w:rPr>
        <w:t>）</w:t>
      </w:r>
    </w:p>
    <w:p w:rsidR="00052878" w:rsidRPr="002E17DA" w:rsidRDefault="00052878" w:rsidP="00052878">
      <w:pPr>
        <w:pStyle w:val="1"/>
        <w:widowControl/>
        <w:shd w:val="clear" w:color="auto" w:fill="FFFFFF"/>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1.</w:t>
      </w:r>
      <w:r w:rsidRPr="002E17DA">
        <w:rPr>
          <w:rFonts w:ascii="Times New Roman" w:eastAsia="仿宋_GB2312" w:hAnsi="Times New Roman"/>
          <w:sz w:val="32"/>
          <w:szCs w:val="32"/>
        </w:rPr>
        <w:t>测定方法的描述，包括分析方法和缓冲溶液的组成。</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2.</w:t>
      </w:r>
      <w:r w:rsidRPr="002E17DA">
        <w:rPr>
          <w:rFonts w:eastAsia="仿宋_GB2312"/>
          <w:sz w:val="32"/>
          <w:szCs w:val="32"/>
        </w:rPr>
        <w:t>人体药物代谢动力学研究（</w:t>
      </w:r>
      <w:r w:rsidRPr="002E17DA">
        <w:rPr>
          <w:rFonts w:eastAsia="仿宋_GB2312"/>
          <w:sz w:val="32"/>
          <w:szCs w:val="32"/>
        </w:rPr>
        <w:t>PK</w:t>
      </w:r>
      <w:r w:rsidRPr="002E17DA">
        <w:rPr>
          <w:rFonts w:eastAsia="仿宋_GB2312"/>
          <w:sz w:val="32"/>
          <w:szCs w:val="32"/>
        </w:rPr>
        <w:t>），包括设计方案和</w:t>
      </w:r>
      <w:r w:rsidRPr="002E17DA">
        <w:rPr>
          <w:rFonts w:eastAsia="仿宋_GB2312"/>
          <w:sz w:val="32"/>
          <w:szCs w:val="32"/>
        </w:rPr>
        <w:t>PK</w:t>
      </w:r>
      <w:r w:rsidRPr="002E17DA">
        <w:rPr>
          <w:rFonts w:eastAsia="仿宋_GB2312"/>
          <w:sz w:val="32"/>
          <w:szCs w:val="32"/>
        </w:rPr>
        <w:t>数据对应的方法。</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3.</w:t>
      </w:r>
      <w:r w:rsidRPr="002E17DA">
        <w:rPr>
          <w:rFonts w:eastAsia="仿宋_GB2312"/>
          <w:sz w:val="32"/>
          <w:szCs w:val="32"/>
        </w:rPr>
        <w:t>对于直接渗透性研究方法，需要说明所用方法的适用性，包括研究方案的描述，受试者、动物和上皮细胞系的选择标准，供体液里的药物浓度，分析方法的描述，计算吸收程度或渗透性的方法等信息。</w:t>
      </w:r>
    </w:p>
    <w:p w:rsidR="00052878" w:rsidRPr="002E17DA" w:rsidRDefault="00052878" w:rsidP="00052878">
      <w:pPr>
        <w:pStyle w:val="1"/>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4.</w:t>
      </w:r>
      <w:r w:rsidRPr="002E17DA">
        <w:rPr>
          <w:rFonts w:ascii="Times New Roman" w:eastAsia="仿宋_GB2312" w:hAnsi="Times New Roman"/>
          <w:sz w:val="32"/>
          <w:szCs w:val="32"/>
        </w:rPr>
        <w:t>选择的模型药物的清单，应包含以下数据：说明研究方法适用性的人体内的吸收度数据（平均值、标准偏差、变异系数），每个模型药物的渗透率值（平均值、标准偏差、变异系数），每个模型药物的渗透性分类，并根据渗透性数据（平均值</w:t>
      </w:r>
      <w:r w:rsidRPr="002E17DA">
        <w:rPr>
          <w:rFonts w:ascii="Times New Roman" w:eastAsia="仿宋_GB2312" w:hAnsi="Times New Roman"/>
          <w:sz w:val="32"/>
          <w:szCs w:val="32"/>
        </w:rPr>
        <w:t>±</w:t>
      </w:r>
      <w:r w:rsidRPr="002E17DA">
        <w:rPr>
          <w:rFonts w:ascii="Times New Roman" w:eastAsia="仿宋_GB2312" w:hAnsi="Times New Roman"/>
          <w:sz w:val="32"/>
          <w:szCs w:val="32"/>
        </w:rPr>
        <w:t>标准偏差或</w:t>
      </w:r>
      <w:r w:rsidRPr="002E17DA">
        <w:rPr>
          <w:rFonts w:ascii="Times New Roman" w:eastAsia="仿宋_GB2312" w:hAnsi="Times New Roman"/>
          <w:sz w:val="32"/>
          <w:szCs w:val="32"/>
        </w:rPr>
        <w:t>95%</w:t>
      </w:r>
      <w:r w:rsidRPr="002E17DA">
        <w:rPr>
          <w:rFonts w:ascii="Times New Roman" w:eastAsia="仿宋_GB2312" w:hAnsi="Times New Roman"/>
          <w:sz w:val="32"/>
          <w:szCs w:val="32"/>
        </w:rPr>
        <w:t>置信区间）给吸收程度按照渗透性分类上下限和所选内标</w:t>
      </w:r>
      <w:proofErr w:type="gramStart"/>
      <w:r w:rsidRPr="002E17DA">
        <w:rPr>
          <w:rFonts w:ascii="Times New Roman" w:eastAsia="仿宋_GB2312" w:hAnsi="Times New Roman"/>
          <w:sz w:val="32"/>
          <w:szCs w:val="32"/>
        </w:rPr>
        <w:t>作出</w:t>
      </w:r>
      <w:proofErr w:type="gramEnd"/>
      <w:r w:rsidRPr="002E17DA">
        <w:rPr>
          <w:rFonts w:ascii="Times New Roman" w:eastAsia="仿宋_GB2312" w:hAnsi="Times New Roman"/>
          <w:sz w:val="32"/>
          <w:szCs w:val="32"/>
        </w:rPr>
        <w:t>标示。支持一个被测原料药高渗透性的信息包括：被测原料药的渗透性数据、内标（平均值、标准偏差、变异系数）和稳定性信息，适当的时候包括支持主动转运机制的数据，以及确定被测原料药的高渗透性的研究方法。</w:t>
      </w:r>
    </w:p>
    <w:p w:rsidR="00052878" w:rsidRPr="002E17DA" w:rsidRDefault="00052878" w:rsidP="00052878">
      <w:pPr>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lastRenderedPageBreak/>
        <w:t>（三）快速、非常快速溶出和曲线相似性的数据支持</w:t>
      </w:r>
    </w:p>
    <w:p w:rsidR="00052878" w:rsidRPr="002E17DA" w:rsidRDefault="00052878" w:rsidP="00052878">
      <w:pPr>
        <w:pStyle w:val="1"/>
        <w:adjustRightInd w:val="0"/>
        <w:snapToGrid w:val="0"/>
        <w:spacing w:line="360" w:lineRule="auto"/>
        <w:ind w:firstLine="640"/>
        <w:rPr>
          <w:rFonts w:ascii="Times New Roman" w:eastAsia="仿宋_GB2312" w:hAnsi="Times New Roman"/>
          <w:sz w:val="32"/>
          <w:szCs w:val="32"/>
        </w:rPr>
      </w:pPr>
      <w:r w:rsidRPr="002E17DA">
        <w:rPr>
          <w:rFonts w:ascii="Times New Roman" w:eastAsia="仿宋_GB2312" w:hAnsi="Times New Roman"/>
          <w:sz w:val="32"/>
          <w:szCs w:val="32"/>
        </w:rPr>
        <w:t>1.</w:t>
      </w:r>
      <w:r w:rsidRPr="002E17DA">
        <w:rPr>
          <w:rFonts w:ascii="Times New Roman" w:eastAsia="仿宋_GB2312" w:hAnsi="Times New Roman"/>
          <w:sz w:val="32"/>
          <w:szCs w:val="32"/>
        </w:rPr>
        <w:t>测定方法的描述，包括分析方法和缓冲溶液的组成描述，溶出测定使用样品的信息，包括批号、有效期、规格、重量等。</w:t>
      </w:r>
    </w:p>
    <w:p w:rsidR="00052878" w:rsidRPr="002E17DA" w:rsidRDefault="00052878" w:rsidP="00052878">
      <w:pPr>
        <w:shd w:val="clear" w:color="auto" w:fill="FFFFFF"/>
        <w:adjustRightInd w:val="0"/>
        <w:snapToGrid w:val="0"/>
        <w:spacing w:line="360" w:lineRule="auto"/>
        <w:ind w:firstLineChars="200" w:firstLine="640"/>
        <w:rPr>
          <w:rFonts w:eastAsia="仿宋_GB2312"/>
          <w:sz w:val="32"/>
          <w:szCs w:val="32"/>
        </w:rPr>
      </w:pPr>
      <w:r w:rsidRPr="002E17DA">
        <w:rPr>
          <w:rFonts w:eastAsia="仿宋_GB2312"/>
          <w:sz w:val="32"/>
          <w:szCs w:val="32"/>
        </w:rPr>
        <w:t>2.</w:t>
      </w:r>
      <w:r w:rsidRPr="002E17DA">
        <w:rPr>
          <w:rFonts w:eastAsia="仿宋_GB2312"/>
          <w:sz w:val="32"/>
          <w:szCs w:val="32"/>
        </w:rPr>
        <w:t>按上述的推荐试验方法，使用</w:t>
      </w:r>
      <w:r w:rsidRPr="002E17DA">
        <w:rPr>
          <w:rFonts w:eastAsia="仿宋_GB2312"/>
          <w:sz w:val="32"/>
          <w:szCs w:val="32"/>
        </w:rPr>
        <w:t>12</w:t>
      </w:r>
      <w:r w:rsidRPr="002E17DA">
        <w:rPr>
          <w:rFonts w:eastAsia="仿宋_GB2312"/>
          <w:sz w:val="32"/>
          <w:szCs w:val="32"/>
        </w:rPr>
        <w:t>个单剂量仿制制剂和</w:t>
      </w:r>
      <w:proofErr w:type="gramStart"/>
      <w:r w:rsidRPr="002E17DA">
        <w:rPr>
          <w:rFonts w:eastAsia="仿宋_GB2312"/>
          <w:sz w:val="32"/>
          <w:szCs w:val="32"/>
        </w:rPr>
        <w:t>参比</w:t>
      </w:r>
      <w:proofErr w:type="gramEnd"/>
      <w:r w:rsidRPr="002E17DA">
        <w:rPr>
          <w:rFonts w:eastAsia="仿宋_GB2312"/>
          <w:sz w:val="32"/>
          <w:szCs w:val="32"/>
        </w:rPr>
        <w:t>制剂所得到的溶出数据。应报告独立被测单元在每个规定时间点的标示量溶出百分数。应将平均溶出百分数、溶出范围和变异系数（相对标准偏差）制表。在三种溶出介质中的仿制制剂和</w:t>
      </w:r>
      <w:proofErr w:type="gramStart"/>
      <w:r w:rsidRPr="002E17DA">
        <w:rPr>
          <w:rFonts w:eastAsia="仿宋_GB2312"/>
          <w:sz w:val="32"/>
          <w:szCs w:val="32"/>
        </w:rPr>
        <w:t>参比</w:t>
      </w:r>
      <w:proofErr w:type="gramEnd"/>
      <w:r w:rsidRPr="002E17DA">
        <w:rPr>
          <w:rFonts w:eastAsia="仿宋_GB2312"/>
          <w:sz w:val="32"/>
          <w:szCs w:val="32"/>
        </w:rPr>
        <w:t>制剂的平均溶出曲线也应作图表示出来。</w:t>
      </w:r>
    </w:p>
    <w:p w:rsidR="00052878" w:rsidRPr="002E17DA" w:rsidRDefault="00052878" w:rsidP="00052878">
      <w:pPr>
        <w:pStyle w:val="1"/>
        <w:adjustRightInd w:val="0"/>
        <w:snapToGrid w:val="0"/>
        <w:spacing w:line="360" w:lineRule="auto"/>
        <w:ind w:firstLine="640"/>
        <w:rPr>
          <w:rFonts w:ascii="Times New Roman" w:eastAsia="仿宋_GB2312" w:hAnsi="Times New Roman"/>
          <w:bCs/>
          <w:kern w:val="0"/>
          <w:sz w:val="32"/>
          <w:szCs w:val="32"/>
        </w:rPr>
      </w:pPr>
      <w:r w:rsidRPr="002E17DA">
        <w:rPr>
          <w:rFonts w:ascii="Times New Roman" w:eastAsia="仿宋_GB2312" w:hAnsi="Times New Roman"/>
          <w:bCs/>
          <w:kern w:val="0"/>
          <w:sz w:val="32"/>
          <w:szCs w:val="32"/>
        </w:rPr>
        <w:t>3.</w:t>
      </w:r>
      <w:r w:rsidRPr="002E17DA">
        <w:rPr>
          <w:rFonts w:ascii="Times New Roman" w:eastAsia="仿宋_GB2312" w:hAnsi="Times New Roman"/>
          <w:bCs/>
          <w:kern w:val="0"/>
          <w:sz w:val="32"/>
          <w:szCs w:val="32"/>
        </w:rPr>
        <w:t>应提供支持仿制制剂和</w:t>
      </w:r>
      <w:proofErr w:type="gramStart"/>
      <w:r w:rsidRPr="002E17DA">
        <w:rPr>
          <w:rFonts w:ascii="Times New Roman" w:eastAsia="仿宋_GB2312" w:hAnsi="Times New Roman"/>
          <w:bCs/>
          <w:kern w:val="0"/>
          <w:sz w:val="32"/>
          <w:szCs w:val="32"/>
        </w:rPr>
        <w:t>参比</w:t>
      </w:r>
      <w:proofErr w:type="gramEnd"/>
      <w:r w:rsidRPr="002E17DA">
        <w:rPr>
          <w:rFonts w:ascii="Times New Roman" w:eastAsia="仿宋_GB2312" w:hAnsi="Times New Roman"/>
          <w:bCs/>
          <w:kern w:val="0"/>
          <w:sz w:val="32"/>
          <w:szCs w:val="32"/>
        </w:rPr>
        <w:t>制剂在这三种溶出介质中的溶出曲线相似性的数据，使用</w:t>
      </w:r>
      <w:r w:rsidRPr="002E17DA">
        <w:rPr>
          <w:rFonts w:ascii="Times New Roman" w:eastAsia="仿宋_GB2312" w:hAnsi="Times New Roman"/>
          <w:bCs/>
          <w:kern w:val="0"/>
          <w:sz w:val="32"/>
          <w:szCs w:val="32"/>
        </w:rPr>
        <w:t>f</w:t>
      </w:r>
      <w:r w:rsidRPr="002E17DA">
        <w:rPr>
          <w:rFonts w:ascii="Times New Roman" w:eastAsia="仿宋_GB2312" w:hAnsi="Times New Roman"/>
          <w:bCs/>
          <w:kern w:val="0"/>
          <w:sz w:val="32"/>
          <w:szCs w:val="32"/>
          <w:vertAlign w:val="subscript"/>
        </w:rPr>
        <w:t>2</w:t>
      </w:r>
      <w:r w:rsidRPr="002E17DA">
        <w:rPr>
          <w:rFonts w:ascii="Times New Roman" w:eastAsia="仿宋_GB2312" w:hAnsi="Times New Roman"/>
          <w:bCs/>
          <w:kern w:val="0"/>
          <w:sz w:val="32"/>
          <w:szCs w:val="32"/>
        </w:rPr>
        <w:t>法进行判断的结果。</w:t>
      </w:r>
    </w:p>
    <w:p w:rsidR="00052878" w:rsidRPr="002E17DA" w:rsidRDefault="00052878" w:rsidP="00052878">
      <w:pPr>
        <w:pStyle w:val="1"/>
        <w:adjustRightInd w:val="0"/>
        <w:snapToGrid w:val="0"/>
        <w:spacing w:line="360" w:lineRule="auto"/>
        <w:ind w:firstLine="640"/>
        <w:rPr>
          <w:rFonts w:ascii="Times New Roman" w:eastAsia="黑体" w:hAnsi="Times New Roman"/>
          <w:sz w:val="32"/>
          <w:szCs w:val="32"/>
        </w:rPr>
      </w:pPr>
      <w:r w:rsidRPr="002E17DA">
        <w:rPr>
          <w:rFonts w:ascii="Times New Roman" w:eastAsia="黑体" w:hAnsi="Times New Roman"/>
          <w:sz w:val="32"/>
          <w:szCs w:val="32"/>
        </w:rPr>
        <w:t>四、推荐的原料药分类方法和制剂溶出特性测定方法</w:t>
      </w:r>
    </w:p>
    <w:p w:rsidR="00052878" w:rsidRPr="002E17DA" w:rsidRDefault="00052878" w:rsidP="00052878">
      <w:pPr>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t>（一）确定药物</w:t>
      </w:r>
      <w:r w:rsidRPr="002E17DA">
        <w:rPr>
          <w:rFonts w:eastAsia="楷体_GB2312"/>
          <w:bCs/>
          <w:kern w:val="0"/>
          <w:sz w:val="32"/>
          <w:szCs w:val="32"/>
        </w:rPr>
        <w:t>(API)</w:t>
      </w:r>
      <w:r w:rsidRPr="002E17DA">
        <w:rPr>
          <w:rFonts w:eastAsia="楷体_GB2312"/>
          <w:bCs/>
          <w:kern w:val="0"/>
          <w:sz w:val="32"/>
          <w:szCs w:val="32"/>
        </w:rPr>
        <w:t>的溶解性分类</w:t>
      </w:r>
    </w:p>
    <w:p w:rsidR="00052878" w:rsidRPr="002E17DA" w:rsidRDefault="00052878" w:rsidP="00052878">
      <w:pPr>
        <w:pStyle w:val="1"/>
        <w:widowControl/>
        <w:adjustRightInd w:val="0"/>
        <w:snapToGrid w:val="0"/>
        <w:spacing w:line="360" w:lineRule="auto"/>
        <w:ind w:firstLine="640"/>
        <w:rPr>
          <w:rFonts w:ascii="Times New Roman" w:eastAsia="仿宋_GB2312" w:hAnsi="Times New Roman"/>
          <w:bCs/>
          <w:kern w:val="0"/>
          <w:sz w:val="32"/>
          <w:szCs w:val="32"/>
        </w:rPr>
      </w:pPr>
      <w:r w:rsidRPr="002E17DA">
        <w:rPr>
          <w:rFonts w:ascii="Times New Roman" w:eastAsia="仿宋_GB2312" w:hAnsi="Times New Roman"/>
          <w:bCs/>
          <w:kern w:val="0"/>
          <w:sz w:val="32"/>
          <w:szCs w:val="32"/>
        </w:rPr>
        <w:t>决定药物的</w:t>
      </w:r>
      <w:r w:rsidRPr="002E17DA">
        <w:rPr>
          <w:rFonts w:ascii="Times New Roman" w:eastAsia="仿宋_GB2312" w:hAnsi="Times New Roman"/>
          <w:bCs/>
          <w:kern w:val="0"/>
          <w:sz w:val="32"/>
          <w:szCs w:val="32"/>
        </w:rPr>
        <w:t>BCS</w:t>
      </w:r>
      <w:r w:rsidRPr="002E17DA">
        <w:rPr>
          <w:rFonts w:ascii="Times New Roman" w:eastAsia="仿宋_GB2312" w:hAnsi="Times New Roman"/>
          <w:bCs/>
          <w:kern w:val="0"/>
          <w:sz w:val="32"/>
          <w:szCs w:val="32"/>
        </w:rPr>
        <w:t>分类首先是测定</w:t>
      </w:r>
      <w:r w:rsidRPr="002E17DA">
        <w:rPr>
          <w:rFonts w:ascii="Times New Roman" w:eastAsia="仿宋_GB2312" w:hAnsi="Times New Roman"/>
          <w:bCs/>
          <w:kern w:val="0"/>
          <w:sz w:val="32"/>
          <w:szCs w:val="32"/>
        </w:rPr>
        <w:t>API</w:t>
      </w:r>
      <w:r w:rsidRPr="002E17DA">
        <w:rPr>
          <w:rFonts w:ascii="Times New Roman" w:eastAsia="仿宋_GB2312" w:hAnsi="Times New Roman"/>
          <w:bCs/>
          <w:kern w:val="0"/>
          <w:sz w:val="32"/>
          <w:szCs w:val="32"/>
        </w:rPr>
        <w:t>在生理</w:t>
      </w:r>
      <w:r w:rsidRPr="002E17DA">
        <w:rPr>
          <w:rFonts w:ascii="Times New Roman" w:eastAsia="仿宋_GB2312" w:hAnsi="Times New Roman"/>
          <w:bCs/>
          <w:kern w:val="0"/>
          <w:sz w:val="32"/>
          <w:szCs w:val="32"/>
        </w:rPr>
        <w:t>pH</w:t>
      </w:r>
      <w:r w:rsidRPr="002E17DA">
        <w:rPr>
          <w:rFonts w:ascii="Times New Roman" w:eastAsia="仿宋_GB2312" w:hAnsi="Times New Roman"/>
          <w:bCs/>
          <w:kern w:val="0"/>
          <w:sz w:val="32"/>
          <w:szCs w:val="32"/>
        </w:rPr>
        <w:t>条件下的平衡溶解度。原料药</w:t>
      </w:r>
      <w:r w:rsidRPr="002E17DA">
        <w:rPr>
          <w:rFonts w:ascii="Times New Roman" w:eastAsia="仿宋_GB2312" w:hAnsi="Times New Roman"/>
          <w:bCs/>
          <w:kern w:val="0"/>
          <w:sz w:val="32"/>
          <w:szCs w:val="32"/>
        </w:rPr>
        <w:t>pH-</w:t>
      </w:r>
      <w:r w:rsidRPr="002E17DA">
        <w:rPr>
          <w:rFonts w:ascii="Times New Roman" w:eastAsia="仿宋_GB2312" w:hAnsi="Times New Roman"/>
          <w:bCs/>
          <w:kern w:val="0"/>
          <w:sz w:val="32"/>
          <w:szCs w:val="32"/>
        </w:rPr>
        <w:t>溶解性曲线的测定应该在</w:t>
      </w:r>
      <w:r w:rsidRPr="002E17DA">
        <w:rPr>
          <w:rFonts w:ascii="Times New Roman" w:eastAsia="仿宋_GB2312" w:hAnsi="Times New Roman"/>
          <w:bCs/>
          <w:kern w:val="0"/>
          <w:sz w:val="32"/>
          <w:szCs w:val="32"/>
        </w:rPr>
        <w:t>37</w:t>
      </w:r>
      <w:r w:rsidRPr="002E17DA">
        <w:rPr>
          <w:rFonts w:ascii="宋体" w:hAnsi="宋体" w:cs="宋体" w:hint="eastAsia"/>
          <w:bCs/>
          <w:kern w:val="0"/>
          <w:sz w:val="32"/>
          <w:szCs w:val="32"/>
        </w:rPr>
        <w:t>℃</w:t>
      </w:r>
      <w:r w:rsidRPr="002E17DA">
        <w:rPr>
          <w:rFonts w:ascii="Times New Roman" w:eastAsia="仿宋_GB2312" w:hAnsi="Times New Roman"/>
          <w:bCs/>
          <w:kern w:val="0"/>
          <w:sz w:val="32"/>
          <w:szCs w:val="32"/>
        </w:rPr>
        <w:t>±1</w:t>
      </w:r>
      <w:r w:rsidRPr="002E17DA">
        <w:rPr>
          <w:rFonts w:ascii="宋体" w:hAnsi="宋体" w:cs="宋体" w:hint="eastAsia"/>
          <w:bCs/>
          <w:kern w:val="0"/>
          <w:sz w:val="32"/>
          <w:szCs w:val="32"/>
        </w:rPr>
        <w:t>℃</w:t>
      </w:r>
      <w:r w:rsidRPr="002E17DA">
        <w:rPr>
          <w:rFonts w:ascii="Times New Roman" w:eastAsia="仿宋_GB2312" w:hAnsi="Times New Roman"/>
          <w:bCs/>
          <w:kern w:val="0"/>
          <w:sz w:val="32"/>
          <w:szCs w:val="32"/>
        </w:rPr>
        <w:t>，</w:t>
      </w:r>
      <w:r w:rsidRPr="002E17DA">
        <w:rPr>
          <w:rFonts w:ascii="Times New Roman" w:eastAsia="仿宋_GB2312" w:hAnsi="Times New Roman"/>
          <w:bCs/>
          <w:kern w:val="0"/>
          <w:sz w:val="32"/>
          <w:szCs w:val="32"/>
        </w:rPr>
        <w:t>pH1.0—6.8</w:t>
      </w:r>
      <w:r w:rsidRPr="002E17DA">
        <w:rPr>
          <w:rFonts w:ascii="Times New Roman" w:eastAsia="仿宋_GB2312" w:hAnsi="Times New Roman"/>
          <w:bCs/>
          <w:kern w:val="0"/>
          <w:sz w:val="32"/>
          <w:szCs w:val="32"/>
        </w:rPr>
        <w:t>的水溶性介质中测定，该曲线上的</w:t>
      </w:r>
      <w:r w:rsidRPr="002E17DA">
        <w:rPr>
          <w:rFonts w:ascii="Times New Roman" w:eastAsia="仿宋_GB2312" w:hAnsi="Times New Roman"/>
          <w:bCs/>
          <w:kern w:val="0"/>
          <w:sz w:val="32"/>
          <w:szCs w:val="32"/>
        </w:rPr>
        <w:t>pH</w:t>
      </w:r>
      <w:r w:rsidRPr="002E17DA">
        <w:rPr>
          <w:rFonts w:ascii="Times New Roman" w:eastAsia="仿宋_GB2312" w:hAnsi="Times New Roman"/>
          <w:bCs/>
          <w:kern w:val="0"/>
          <w:sz w:val="32"/>
          <w:szCs w:val="32"/>
        </w:rPr>
        <w:t>值选择应该有充足的点，并且是在</w:t>
      </w:r>
      <w:r w:rsidRPr="002E17DA">
        <w:rPr>
          <w:rFonts w:ascii="Times New Roman" w:eastAsia="仿宋_GB2312" w:hAnsi="Times New Roman"/>
          <w:bCs/>
          <w:kern w:val="0"/>
          <w:sz w:val="32"/>
          <w:szCs w:val="32"/>
        </w:rPr>
        <w:t>1.0—6.8</w:t>
      </w:r>
      <w:r w:rsidRPr="002E17DA">
        <w:rPr>
          <w:rFonts w:ascii="Times New Roman" w:eastAsia="仿宋_GB2312" w:hAnsi="Times New Roman"/>
          <w:bCs/>
          <w:kern w:val="0"/>
          <w:sz w:val="32"/>
          <w:szCs w:val="32"/>
        </w:rPr>
        <w:t>的范围内，其测定点的选择可以参照药物的解离常数，包括</w:t>
      </w:r>
      <w:proofErr w:type="spellStart"/>
      <w:r w:rsidRPr="002E17DA">
        <w:rPr>
          <w:rFonts w:ascii="Times New Roman" w:eastAsia="仿宋_GB2312" w:hAnsi="Times New Roman"/>
          <w:bCs/>
          <w:kern w:val="0"/>
          <w:sz w:val="32"/>
          <w:szCs w:val="32"/>
        </w:rPr>
        <w:t>pKa</w:t>
      </w:r>
      <w:proofErr w:type="spellEnd"/>
      <w:r w:rsidRPr="002E17DA">
        <w:rPr>
          <w:rFonts w:ascii="Times New Roman" w:eastAsia="仿宋_GB2312" w:hAnsi="Times New Roman"/>
          <w:bCs/>
          <w:kern w:val="0"/>
          <w:sz w:val="32"/>
          <w:szCs w:val="32"/>
        </w:rPr>
        <w:t>、</w:t>
      </w:r>
      <w:r w:rsidRPr="002E17DA">
        <w:rPr>
          <w:rFonts w:ascii="Times New Roman" w:eastAsia="仿宋_GB2312" w:hAnsi="Times New Roman"/>
          <w:bCs/>
          <w:kern w:val="0"/>
          <w:sz w:val="32"/>
          <w:szCs w:val="32"/>
        </w:rPr>
        <w:t>pKa+1</w:t>
      </w:r>
      <w:r w:rsidRPr="002E17DA">
        <w:rPr>
          <w:rFonts w:ascii="Times New Roman" w:eastAsia="仿宋_GB2312" w:hAnsi="Times New Roman"/>
          <w:bCs/>
          <w:kern w:val="0"/>
          <w:sz w:val="32"/>
          <w:szCs w:val="32"/>
        </w:rPr>
        <w:t>、</w:t>
      </w:r>
      <w:r w:rsidRPr="002E17DA">
        <w:rPr>
          <w:rFonts w:ascii="Times New Roman" w:eastAsia="仿宋_GB2312" w:hAnsi="Times New Roman"/>
          <w:bCs/>
          <w:kern w:val="0"/>
          <w:sz w:val="32"/>
          <w:szCs w:val="32"/>
        </w:rPr>
        <w:t>pKa-1</w:t>
      </w:r>
      <w:r w:rsidRPr="002E17DA">
        <w:rPr>
          <w:rFonts w:ascii="Times New Roman" w:eastAsia="仿宋_GB2312" w:hAnsi="Times New Roman"/>
          <w:bCs/>
          <w:kern w:val="0"/>
          <w:sz w:val="32"/>
          <w:szCs w:val="32"/>
        </w:rPr>
        <w:t>，以及</w:t>
      </w:r>
      <w:r w:rsidRPr="002E17DA">
        <w:rPr>
          <w:rFonts w:ascii="Times New Roman" w:eastAsia="仿宋_GB2312" w:hAnsi="Times New Roman"/>
          <w:bCs/>
          <w:kern w:val="0"/>
          <w:sz w:val="32"/>
          <w:szCs w:val="32"/>
        </w:rPr>
        <w:t>1.0</w:t>
      </w:r>
      <w:r w:rsidRPr="002E17DA">
        <w:rPr>
          <w:rFonts w:ascii="Times New Roman" w:eastAsia="仿宋_GB2312" w:hAnsi="Times New Roman"/>
          <w:bCs/>
          <w:kern w:val="0"/>
          <w:sz w:val="32"/>
          <w:szCs w:val="32"/>
        </w:rPr>
        <w:t>和</w:t>
      </w:r>
      <w:r w:rsidRPr="002E17DA">
        <w:rPr>
          <w:rFonts w:ascii="Times New Roman" w:eastAsia="仿宋_GB2312" w:hAnsi="Times New Roman"/>
          <w:bCs/>
          <w:kern w:val="0"/>
          <w:sz w:val="32"/>
          <w:szCs w:val="32"/>
        </w:rPr>
        <w:t>6.8</w:t>
      </w:r>
      <w:r w:rsidRPr="002E17DA">
        <w:rPr>
          <w:rFonts w:ascii="Times New Roman" w:eastAsia="仿宋_GB2312" w:hAnsi="Times New Roman"/>
          <w:bCs/>
          <w:kern w:val="0"/>
          <w:sz w:val="32"/>
          <w:szCs w:val="32"/>
        </w:rPr>
        <w:t>这几个点。测定溶解度时每个</w:t>
      </w:r>
      <w:r w:rsidRPr="002E17DA">
        <w:rPr>
          <w:rFonts w:ascii="Times New Roman" w:eastAsia="仿宋_GB2312" w:hAnsi="Times New Roman"/>
          <w:bCs/>
          <w:kern w:val="0"/>
          <w:sz w:val="32"/>
          <w:szCs w:val="32"/>
        </w:rPr>
        <w:t>pH</w:t>
      </w:r>
      <w:r w:rsidRPr="002E17DA">
        <w:rPr>
          <w:rFonts w:ascii="Times New Roman" w:eastAsia="仿宋_GB2312" w:hAnsi="Times New Roman"/>
          <w:bCs/>
          <w:kern w:val="0"/>
          <w:sz w:val="32"/>
          <w:szCs w:val="32"/>
        </w:rPr>
        <w:t>值条件至少要平行测定三次，为保证溶解度数据的准确可靠，可能还需要更多次的重复测定。可采用特定的标准缓冲溶液作为溶剂，测定药物的溶解度。如果特定的标准缓冲溶液对药物的理化</w:t>
      </w:r>
      <w:r w:rsidRPr="002E17DA">
        <w:rPr>
          <w:rFonts w:ascii="Times New Roman" w:eastAsia="仿宋_GB2312" w:hAnsi="Times New Roman"/>
          <w:bCs/>
          <w:kern w:val="0"/>
          <w:sz w:val="32"/>
          <w:szCs w:val="32"/>
        </w:rPr>
        <w:lastRenderedPageBreak/>
        <w:t>性质有影响，也可以使用其他的缓冲介质。当原料药加入到作为溶剂的缓冲溶液中，此时溶剂的</w:t>
      </w:r>
      <w:r w:rsidRPr="002E17DA">
        <w:rPr>
          <w:rFonts w:ascii="Times New Roman" w:eastAsia="仿宋_GB2312" w:hAnsi="Times New Roman"/>
          <w:bCs/>
          <w:kern w:val="0"/>
          <w:sz w:val="32"/>
          <w:szCs w:val="32"/>
        </w:rPr>
        <w:t>pH</w:t>
      </w:r>
      <w:proofErr w:type="gramStart"/>
      <w:r w:rsidRPr="002E17DA">
        <w:rPr>
          <w:rFonts w:ascii="Times New Roman" w:eastAsia="仿宋_GB2312" w:hAnsi="Times New Roman"/>
          <w:bCs/>
          <w:kern w:val="0"/>
          <w:sz w:val="32"/>
          <w:szCs w:val="32"/>
        </w:rPr>
        <w:t>值需要</w:t>
      </w:r>
      <w:proofErr w:type="gramEnd"/>
      <w:r w:rsidRPr="002E17DA">
        <w:rPr>
          <w:rFonts w:ascii="Times New Roman" w:eastAsia="仿宋_GB2312" w:hAnsi="Times New Roman"/>
          <w:bCs/>
          <w:kern w:val="0"/>
          <w:sz w:val="32"/>
          <w:szCs w:val="32"/>
        </w:rPr>
        <w:t>进行验证。预测药物平衡溶解度的方法，除了传统的摇瓶法，也可以使用酸碱滴定法及其他方法，但应证明所用方法的合理性，并且有方法学数据的支持。</w:t>
      </w:r>
    </w:p>
    <w:p w:rsidR="00052878" w:rsidRPr="002E17DA" w:rsidRDefault="00052878" w:rsidP="00052878">
      <w:pPr>
        <w:pStyle w:val="1"/>
        <w:widowControl/>
        <w:adjustRightInd w:val="0"/>
        <w:snapToGrid w:val="0"/>
        <w:spacing w:line="360" w:lineRule="auto"/>
        <w:ind w:firstLine="624"/>
        <w:rPr>
          <w:rFonts w:ascii="Times New Roman" w:eastAsia="仿宋_GB2312" w:hAnsi="Times New Roman"/>
          <w:bCs/>
          <w:spacing w:val="-4"/>
          <w:kern w:val="0"/>
          <w:sz w:val="32"/>
          <w:szCs w:val="32"/>
        </w:rPr>
      </w:pPr>
      <w:r w:rsidRPr="002E17DA">
        <w:rPr>
          <w:rFonts w:ascii="Times New Roman" w:eastAsia="仿宋_GB2312" w:hAnsi="Times New Roman"/>
          <w:bCs/>
          <w:spacing w:val="-4"/>
          <w:kern w:val="0"/>
          <w:sz w:val="32"/>
          <w:szCs w:val="32"/>
        </w:rPr>
        <w:t>在选定的缓冲介质中，应该使用经过验证的含量测定方法测定</w:t>
      </w:r>
      <w:r w:rsidRPr="002E17DA">
        <w:rPr>
          <w:rFonts w:ascii="Times New Roman" w:eastAsia="仿宋_GB2312" w:hAnsi="Times New Roman"/>
          <w:bCs/>
          <w:spacing w:val="-4"/>
          <w:kern w:val="0"/>
          <w:sz w:val="32"/>
          <w:szCs w:val="32"/>
        </w:rPr>
        <w:t>API</w:t>
      </w:r>
      <w:r w:rsidRPr="002E17DA">
        <w:rPr>
          <w:rFonts w:ascii="Times New Roman" w:eastAsia="仿宋_GB2312" w:hAnsi="Times New Roman"/>
          <w:bCs/>
          <w:spacing w:val="-4"/>
          <w:kern w:val="0"/>
          <w:sz w:val="32"/>
          <w:szCs w:val="32"/>
        </w:rPr>
        <w:t>的浓度，并能区分</w:t>
      </w:r>
      <w:r w:rsidRPr="002E17DA">
        <w:rPr>
          <w:rFonts w:ascii="Times New Roman" w:eastAsia="仿宋_GB2312" w:hAnsi="Times New Roman"/>
          <w:bCs/>
          <w:spacing w:val="-4"/>
          <w:kern w:val="0"/>
          <w:sz w:val="32"/>
          <w:szCs w:val="32"/>
        </w:rPr>
        <w:t>API</w:t>
      </w:r>
      <w:r w:rsidRPr="002E17DA">
        <w:rPr>
          <w:rFonts w:ascii="Times New Roman" w:eastAsia="仿宋_GB2312" w:hAnsi="Times New Roman"/>
          <w:bCs/>
          <w:spacing w:val="-4"/>
          <w:kern w:val="0"/>
          <w:sz w:val="32"/>
          <w:szCs w:val="32"/>
        </w:rPr>
        <w:t>和其降解产物。若观察到原料药的降解是缓冲液成分或者</w:t>
      </w:r>
      <w:r w:rsidRPr="002E17DA">
        <w:rPr>
          <w:rFonts w:ascii="Times New Roman" w:eastAsia="仿宋_GB2312" w:hAnsi="Times New Roman"/>
          <w:bCs/>
          <w:spacing w:val="-4"/>
          <w:kern w:val="0"/>
          <w:sz w:val="32"/>
          <w:szCs w:val="32"/>
        </w:rPr>
        <w:t>pH</w:t>
      </w:r>
      <w:proofErr w:type="gramStart"/>
      <w:r w:rsidRPr="002E17DA">
        <w:rPr>
          <w:rFonts w:ascii="Times New Roman" w:eastAsia="仿宋_GB2312" w:hAnsi="Times New Roman"/>
          <w:bCs/>
          <w:spacing w:val="-4"/>
          <w:kern w:val="0"/>
          <w:sz w:val="32"/>
          <w:szCs w:val="32"/>
        </w:rPr>
        <w:t>值造成</w:t>
      </w:r>
      <w:proofErr w:type="gramEnd"/>
      <w:r w:rsidRPr="002E17DA">
        <w:rPr>
          <w:rFonts w:ascii="Times New Roman" w:eastAsia="仿宋_GB2312" w:hAnsi="Times New Roman"/>
          <w:bCs/>
          <w:spacing w:val="-4"/>
          <w:kern w:val="0"/>
          <w:sz w:val="32"/>
          <w:szCs w:val="32"/>
        </w:rPr>
        <w:t>的，则也应该提交胃肠道稳定性研究部分的稳定性数据。根据测量在</w:t>
      </w:r>
      <w:r w:rsidRPr="002E17DA">
        <w:rPr>
          <w:rFonts w:ascii="Times New Roman" w:eastAsia="仿宋_GB2312" w:hAnsi="Times New Roman"/>
          <w:bCs/>
          <w:spacing w:val="-4"/>
          <w:kern w:val="0"/>
          <w:sz w:val="32"/>
          <w:szCs w:val="32"/>
        </w:rPr>
        <w:t>pH</w:t>
      </w:r>
      <w:r w:rsidRPr="002E17DA">
        <w:rPr>
          <w:rFonts w:ascii="Times New Roman" w:eastAsia="仿宋_GB2312" w:hAnsi="Times New Roman"/>
          <w:bCs/>
          <w:spacing w:val="-4"/>
          <w:kern w:val="0"/>
          <w:sz w:val="32"/>
          <w:szCs w:val="32"/>
        </w:rPr>
        <w:t>值</w:t>
      </w:r>
      <w:r w:rsidRPr="002E17DA">
        <w:rPr>
          <w:rFonts w:ascii="Times New Roman" w:eastAsia="仿宋_GB2312" w:hAnsi="Times New Roman"/>
          <w:bCs/>
          <w:spacing w:val="-4"/>
          <w:kern w:val="0"/>
          <w:sz w:val="32"/>
          <w:szCs w:val="32"/>
        </w:rPr>
        <w:t>1.0—6.8</w:t>
      </w:r>
      <w:r w:rsidRPr="002E17DA">
        <w:rPr>
          <w:rFonts w:ascii="Times New Roman" w:eastAsia="仿宋_GB2312" w:hAnsi="Times New Roman"/>
          <w:bCs/>
          <w:spacing w:val="-4"/>
          <w:kern w:val="0"/>
          <w:sz w:val="32"/>
          <w:szCs w:val="32"/>
        </w:rPr>
        <w:t>范围内水溶性缓冲介质中药物溶解的最高剂量来确定药物的溶解度类别。当某种药物的最大剂量能在</w:t>
      </w:r>
      <w:r w:rsidRPr="002E17DA">
        <w:rPr>
          <w:rFonts w:ascii="Times New Roman" w:eastAsia="仿宋_GB2312" w:hAnsi="Times New Roman"/>
          <w:bCs/>
          <w:spacing w:val="-4"/>
          <w:kern w:val="0"/>
          <w:sz w:val="32"/>
          <w:szCs w:val="32"/>
        </w:rPr>
        <w:t>pH</w:t>
      </w:r>
      <w:r w:rsidRPr="002E17DA">
        <w:rPr>
          <w:rFonts w:ascii="Times New Roman" w:eastAsia="仿宋_GB2312" w:hAnsi="Times New Roman"/>
          <w:bCs/>
          <w:spacing w:val="-4"/>
          <w:kern w:val="0"/>
          <w:sz w:val="32"/>
          <w:szCs w:val="32"/>
        </w:rPr>
        <w:t>值</w:t>
      </w:r>
      <w:r w:rsidRPr="002E17DA">
        <w:rPr>
          <w:rFonts w:ascii="Times New Roman" w:eastAsia="仿宋_GB2312" w:hAnsi="Times New Roman"/>
          <w:bCs/>
          <w:spacing w:val="-4"/>
          <w:kern w:val="0"/>
          <w:sz w:val="32"/>
          <w:szCs w:val="32"/>
        </w:rPr>
        <w:t>1.0—6.8</w:t>
      </w:r>
      <w:r w:rsidRPr="002E17DA">
        <w:rPr>
          <w:rFonts w:ascii="Times New Roman" w:eastAsia="仿宋_GB2312" w:hAnsi="Times New Roman"/>
          <w:bCs/>
          <w:spacing w:val="-4"/>
          <w:kern w:val="0"/>
          <w:sz w:val="32"/>
          <w:szCs w:val="32"/>
        </w:rPr>
        <w:t>的范围内、完全溶解在小于</w:t>
      </w:r>
      <w:r w:rsidRPr="002E17DA">
        <w:rPr>
          <w:rFonts w:ascii="Times New Roman" w:eastAsia="仿宋_GB2312" w:hAnsi="Times New Roman"/>
          <w:bCs/>
          <w:spacing w:val="-4"/>
          <w:kern w:val="0"/>
          <w:sz w:val="32"/>
          <w:szCs w:val="32"/>
        </w:rPr>
        <w:t>250ml</w:t>
      </w:r>
      <w:r w:rsidRPr="002E17DA">
        <w:rPr>
          <w:rFonts w:ascii="Times New Roman" w:eastAsia="仿宋_GB2312" w:hAnsi="Times New Roman"/>
          <w:bCs/>
          <w:spacing w:val="-4"/>
          <w:kern w:val="0"/>
          <w:sz w:val="32"/>
          <w:szCs w:val="32"/>
        </w:rPr>
        <w:t>的水溶性缓冲介质中，可认为该药物是高溶解性的。</w:t>
      </w:r>
    </w:p>
    <w:p w:rsidR="00052878" w:rsidRPr="002E17DA" w:rsidRDefault="00052878" w:rsidP="00052878">
      <w:pPr>
        <w:widowControl/>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t>（二）确定药物</w:t>
      </w:r>
      <w:r w:rsidRPr="002E17DA">
        <w:rPr>
          <w:rFonts w:eastAsia="楷体_GB2312"/>
          <w:bCs/>
          <w:kern w:val="0"/>
          <w:sz w:val="32"/>
          <w:szCs w:val="32"/>
        </w:rPr>
        <w:t>(API)</w:t>
      </w:r>
      <w:r w:rsidRPr="002E17DA">
        <w:rPr>
          <w:rFonts w:eastAsia="楷体_GB2312"/>
          <w:bCs/>
          <w:kern w:val="0"/>
          <w:sz w:val="32"/>
          <w:szCs w:val="32"/>
        </w:rPr>
        <w:t>的渗透性分类</w:t>
      </w:r>
    </w:p>
    <w:p w:rsidR="00052878" w:rsidRPr="002E17DA" w:rsidRDefault="00052878" w:rsidP="00052878">
      <w:pPr>
        <w:widowControl/>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API</w:t>
      </w:r>
      <w:r w:rsidRPr="002E17DA">
        <w:rPr>
          <w:rFonts w:eastAsia="仿宋_GB2312"/>
          <w:bCs/>
          <w:kern w:val="0"/>
          <w:sz w:val="32"/>
          <w:szCs w:val="32"/>
        </w:rPr>
        <w:t>的渗透性分类可以通过受试者体内试验确定，比如质量平衡或是绝对生物利用度，也可以通过肠道灌注法来测定。推荐的不涉及人体受试者的方法包括：在合适的动物模型的体内或原位肠道灌注、离体肠道组织的渗透性检测或者合适的单层上皮细胞的渗透性测定等。在很多情况下（例如，绝对生物利用度等于或大于</w:t>
      </w:r>
      <w:r w:rsidRPr="002E17DA">
        <w:rPr>
          <w:rFonts w:eastAsia="仿宋_GB2312"/>
          <w:bCs/>
          <w:kern w:val="0"/>
          <w:sz w:val="32"/>
          <w:szCs w:val="32"/>
        </w:rPr>
        <w:t>85%</w:t>
      </w:r>
      <w:r w:rsidRPr="002E17DA">
        <w:rPr>
          <w:rFonts w:eastAsia="仿宋_GB2312"/>
          <w:bCs/>
          <w:kern w:val="0"/>
          <w:sz w:val="32"/>
          <w:szCs w:val="32"/>
        </w:rPr>
        <w:t>；等于或大于</w:t>
      </w:r>
      <w:r w:rsidRPr="002E17DA">
        <w:rPr>
          <w:rFonts w:eastAsia="仿宋_GB2312"/>
          <w:bCs/>
          <w:kern w:val="0"/>
          <w:sz w:val="32"/>
          <w:szCs w:val="32"/>
        </w:rPr>
        <w:t>85%</w:t>
      </w:r>
      <w:r w:rsidRPr="002E17DA">
        <w:rPr>
          <w:rFonts w:eastAsia="仿宋_GB2312"/>
          <w:bCs/>
          <w:kern w:val="0"/>
          <w:sz w:val="32"/>
          <w:szCs w:val="32"/>
        </w:rPr>
        <w:t>的药物以原型药的形式从尿液中排出等），单一的检测方法可能已足够充分。当一个单一的渗透性检测不足以充分说明药物的渗</w:t>
      </w:r>
      <w:r w:rsidRPr="002E17DA">
        <w:rPr>
          <w:rFonts w:eastAsia="仿宋_GB2312"/>
          <w:bCs/>
          <w:kern w:val="0"/>
          <w:sz w:val="32"/>
          <w:szCs w:val="32"/>
        </w:rPr>
        <w:lastRenderedPageBreak/>
        <w:t>透性类别时，建议采用两种不同的分析方法。当不同实验类型的研究结果存在矛盾时，应考虑用人体数据替代体外或动物数据。</w:t>
      </w:r>
    </w:p>
    <w:p w:rsidR="00052878" w:rsidRPr="002E17DA" w:rsidRDefault="00052878" w:rsidP="00052878">
      <w:pPr>
        <w:pStyle w:val="1"/>
        <w:widowControl/>
        <w:shd w:val="clear" w:color="auto" w:fill="FFFFFF"/>
        <w:adjustRightInd w:val="0"/>
        <w:snapToGrid w:val="0"/>
        <w:spacing w:line="360" w:lineRule="auto"/>
        <w:ind w:firstLine="640"/>
        <w:rPr>
          <w:rFonts w:ascii="Times New Roman" w:eastAsia="仿宋_GB2312" w:hAnsi="Times New Roman"/>
          <w:bCs/>
          <w:kern w:val="0"/>
          <w:sz w:val="32"/>
          <w:szCs w:val="32"/>
        </w:rPr>
      </w:pPr>
      <w:r w:rsidRPr="002E17DA">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w:t>
      </w:r>
      <w:r w:rsidRPr="002E17DA">
        <w:rPr>
          <w:rFonts w:ascii="Times New Roman" w:eastAsia="仿宋_GB2312" w:hAnsi="Times New Roman"/>
          <w:bCs/>
          <w:kern w:val="0"/>
          <w:sz w:val="32"/>
          <w:szCs w:val="32"/>
        </w:rPr>
        <w:t>人</w:t>
      </w:r>
      <w:proofErr w:type="gramStart"/>
      <w:r w:rsidRPr="002E17DA">
        <w:rPr>
          <w:rFonts w:ascii="Times New Roman" w:eastAsia="仿宋_GB2312" w:hAnsi="Times New Roman"/>
          <w:bCs/>
          <w:kern w:val="0"/>
          <w:sz w:val="32"/>
          <w:szCs w:val="32"/>
        </w:rPr>
        <w:t>体内药</w:t>
      </w:r>
      <w:proofErr w:type="gramEnd"/>
      <w:r w:rsidRPr="002E17DA">
        <w:rPr>
          <w:rFonts w:ascii="Times New Roman" w:eastAsia="仿宋_GB2312" w:hAnsi="Times New Roman"/>
          <w:bCs/>
          <w:kern w:val="0"/>
          <w:sz w:val="32"/>
          <w:szCs w:val="32"/>
        </w:rPr>
        <w:t>代动力学研究</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w:t>
      </w:r>
      <w:r w:rsidRPr="002E17DA">
        <w:rPr>
          <w:rFonts w:eastAsia="仿宋_GB2312"/>
          <w:bCs/>
          <w:kern w:val="0"/>
          <w:sz w:val="32"/>
          <w:szCs w:val="32"/>
        </w:rPr>
        <w:t>1</w:t>
      </w:r>
      <w:r w:rsidRPr="002E17DA">
        <w:rPr>
          <w:rFonts w:eastAsia="仿宋_GB2312"/>
          <w:bCs/>
          <w:kern w:val="0"/>
          <w:sz w:val="32"/>
          <w:szCs w:val="32"/>
        </w:rPr>
        <w:t>）质量平衡研究</w:t>
      </w:r>
      <w:r w:rsidRPr="002E17DA">
        <w:rPr>
          <w:rFonts w:eastAsia="仿宋_GB2312"/>
          <w:bCs/>
          <w:kern w:val="0"/>
          <w:sz w:val="32"/>
          <w:szCs w:val="32"/>
        </w:rPr>
        <w:t>(Mass Balance Studies)</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利用无标记药物、稳定同位素或者放射性标记药物进行药代动力学质量平衡研究可证明药物的吸收程度。根据研究的可变性，应纳入足够充分的受试者，为吸收程度的可靠评估提供支持。</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当采用质量平衡研究证明高渗透性时，应提供额外的数据证明药物在胃肠道的稳定性，或者</w:t>
      </w:r>
      <w:r w:rsidRPr="002E17DA">
        <w:rPr>
          <w:rFonts w:eastAsia="仿宋_GB2312"/>
          <w:bCs/>
          <w:kern w:val="0"/>
          <w:sz w:val="32"/>
          <w:szCs w:val="32"/>
        </w:rPr>
        <w:t>85%</w:t>
      </w:r>
      <w:r w:rsidRPr="002E17DA">
        <w:rPr>
          <w:rFonts w:eastAsia="仿宋_GB2312"/>
          <w:bCs/>
          <w:kern w:val="0"/>
          <w:sz w:val="32"/>
          <w:szCs w:val="32"/>
        </w:rPr>
        <w:t>以上的原型药物从尿液中排出。</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w:t>
      </w:r>
      <w:r w:rsidRPr="002E17DA">
        <w:rPr>
          <w:rFonts w:eastAsia="仿宋_GB2312"/>
          <w:bCs/>
          <w:kern w:val="0"/>
          <w:sz w:val="32"/>
          <w:szCs w:val="32"/>
        </w:rPr>
        <w:t>2</w:t>
      </w:r>
      <w:r w:rsidRPr="002E17DA">
        <w:rPr>
          <w:rFonts w:eastAsia="仿宋_GB2312"/>
          <w:bCs/>
          <w:kern w:val="0"/>
          <w:sz w:val="32"/>
          <w:szCs w:val="32"/>
        </w:rPr>
        <w:t>）绝对生物利用度研究</w:t>
      </w:r>
      <w:r w:rsidRPr="002E17DA">
        <w:rPr>
          <w:rFonts w:eastAsia="仿宋_GB2312"/>
          <w:bCs/>
          <w:kern w:val="0"/>
          <w:sz w:val="32"/>
          <w:szCs w:val="32"/>
        </w:rPr>
        <w:t>(Absolute Bioavailability Studies)</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口服的生物利用度试验可以用静脉给药作为参考。根据研究的可变性，一个研究中要考虑多个受试者以提供有效的吸收度估计。当药物的绝对生物利用度等于或大于</w:t>
      </w:r>
      <w:r w:rsidRPr="002E17DA">
        <w:rPr>
          <w:rFonts w:eastAsia="仿宋_GB2312"/>
          <w:bCs/>
          <w:kern w:val="0"/>
          <w:sz w:val="32"/>
          <w:szCs w:val="32"/>
        </w:rPr>
        <w:t>85%</w:t>
      </w:r>
      <w:r w:rsidRPr="002E17DA">
        <w:rPr>
          <w:rFonts w:eastAsia="仿宋_GB2312"/>
          <w:bCs/>
          <w:kern w:val="0"/>
          <w:sz w:val="32"/>
          <w:szCs w:val="32"/>
        </w:rPr>
        <w:t>，则不需要提供更多药物在消化液中的稳定性数据。</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2</w:t>
      </w:r>
      <w:r>
        <w:rPr>
          <w:rFonts w:eastAsia="仿宋_GB2312" w:hint="eastAsia"/>
          <w:bCs/>
          <w:kern w:val="0"/>
          <w:sz w:val="32"/>
          <w:szCs w:val="32"/>
        </w:rPr>
        <w:t>．</w:t>
      </w:r>
      <w:r w:rsidRPr="002E17DA">
        <w:rPr>
          <w:rFonts w:eastAsia="仿宋_GB2312"/>
          <w:bCs/>
          <w:kern w:val="0"/>
          <w:sz w:val="32"/>
          <w:szCs w:val="32"/>
        </w:rPr>
        <w:t>肠道通透性检测方法</w:t>
      </w:r>
      <w:r w:rsidRPr="002E17DA">
        <w:rPr>
          <w:rFonts w:eastAsia="仿宋_GB2312"/>
          <w:bCs/>
          <w:kern w:val="0"/>
          <w:sz w:val="32"/>
          <w:szCs w:val="32"/>
        </w:rPr>
        <w:t>(Intestinal Permeability Methods)</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以下方法可以用来测定胃肠道中药物的渗透性：（</w:t>
      </w:r>
      <w:r w:rsidRPr="002E17DA">
        <w:rPr>
          <w:rFonts w:eastAsia="仿宋_GB2312"/>
          <w:bCs/>
          <w:kern w:val="0"/>
          <w:sz w:val="32"/>
          <w:szCs w:val="32"/>
        </w:rPr>
        <w:t>1</w:t>
      </w:r>
      <w:r w:rsidRPr="002E17DA">
        <w:rPr>
          <w:rFonts w:eastAsia="仿宋_GB2312"/>
          <w:bCs/>
          <w:kern w:val="0"/>
          <w:sz w:val="32"/>
          <w:szCs w:val="32"/>
        </w:rPr>
        <w:t>）人体体内肠道灌注研究；（</w:t>
      </w:r>
      <w:r w:rsidRPr="002E17DA">
        <w:rPr>
          <w:rFonts w:eastAsia="仿宋_GB2312"/>
          <w:bCs/>
          <w:kern w:val="0"/>
          <w:sz w:val="32"/>
          <w:szCs w:val="32"/>
        </w:rPr>
        <w:t>2</w:t>
      </w:r>
      <w:r w:rsidRPr="002E17DA">
        <w:rPr>
          <w:rFonts w:eastAsia="仿宋_GB2312"/>
          <w:bCs/>
          <w:kern w:val="0"/>
          <w:sz w:val="32"/>
          <w:szCs w:val="32"/>
        </w:rPr>
        <w:t>）使用合适的动物模型，体内或原位肠道灌注研究；（</w:t>
      </w:r>
      <w:r w:rsidRPr="002E17DA">
        <w:rPr>
          <w:rFonts w:eastAsia="仿宋_GB2312"/>
          <w:bCs/>
          <w:kern w:val="0"/>
          <w:sz w:val="32"/>
          <w:szCs w:val="32"/>
        </w:rPr>
        <w:t>3</w:t>
      </w:r>
      <w:r w:rsidRPr="002E17DA">
        <w:rPr>
          <w:rFonts w:eastAsia="仿宋_GB2312"/>
          <w:bCs/>
          <w:kern w:val="0"/>
          <w:sz w:val="32"/>
          <w:szCs w:val="32"/>
        </w:rPr>
        <w:t>）离体人或动物肠道组织的体外</w:t>
      </w:r>
      <w:r w:rsidRPr="002E17DA">
        <w:rPr>
          <w:rFonts w:eastAsia="仿宋_GB2312"/>
          <w:bCs/>
          <w:kern w:val="0"/>
          <w:sz w:val="32"/>
          <w:szCs w:val="32"/>
        </w:rPr>
        <w:lastRenderedPageBreak/>
        <w:t>渗透性研究；（</w:t>
      </w:r>
      <w:r w:rsidRPr="002E17DA">
        <w:rPr>
          <w:rFonts w:eastAsia="仿宋_GB2312"/>
          <w:bCs/>
          <w:kern w:val="0"/>
          <w:sz w:val="32"/>
          <w:szCs w:val="32"/>
        </w:rPr>
        <w:t>4</w:t>
      </w:r>
      <w:r w:rsidRPr="002E17DA">
        <w:rPr>
          <w:rFonts w:eastAsia="仿宋_GB2312"/>
          <w:bCs/>
          <w:kern w:val="0"/>
          <w:sz w:val="32"/>
          <w:szCs w:val="32"/>
        </w:rPr>
        <w:t>）单层人工培养上皮细胞的离体渗透性研究。</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体内或原位动物模型以及体外方法，例如使用动物或人类单层培养上皮细胞，都适用于被动转运的药物。有些原料药在人体内观测到的低渗透性可能是由于药物在膜转运蛋白（如</w:t>
      </w:r>
      <w:r w:rsidRPr="002E17DA">
        <w:rPr>
          <w:rFonts w:eastAsia="仿宋_GB2312"/>
          <w:bCs/>
          <w:kern w:val="0"/>
          <w:sz w:val="32"/>
          <w:szCs w:val="32"/>
        </w:rPr>
        <w:t>p-</w:t>
      </w:r>
      <w:r w:rsidRPr="002E17DA">
        <w:rPr>
          <w:rFonts w:eastAsia="仿宋_GB2312"/>
          <w:bCs/>
          <w:kern w:val="0"/>
          <w:sz w:val="32"/>
          <w:szCs w:val="32"/>
        </w:rPr>
        <w:t>糖蛋白）上的流失造成。当这些模型中和药物流失相关的转运蛋白缺失，或者其表达程度和人体相比较低，则当药物和转运流失相关的时候，渗透性分级失误的几率比被动转运药物几率大。</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选定的研究方案中要表征出已知转运蛋白的表达。流失机制的函数表达式可以用双向转运研究技术来说明，即在使用未将外排系统饱和的特定药物或化学物质时，相较细胞膜顶部</w:t>
      </w:r>
      <w:r w:rsidRPr="002E17DA">
        <w:rPr>
          <w:rFonts w:eastAsia="仿宋_GB2312"/>
          <w:bCs/>
          <w:kern w:val="0"/>
          <w:sz w:val="32"/>
          <w:szCs w:val="32"/>
        </w:rPr>
        <w:t>-</w:t>
      </w:r>
      <w:r w:rsidRPr="002E17DA">
        <w:rPr>
          <w:rFonts w:eastAsia="仿宋_GB2312"/>
          <w:bCs/>
          <w:kern w:val="0"/>
          <w:sz w:val="32"/>
          <w:szCs w:val="32"/>
        </w:rPr>
        <w:t>基底侧端方向的转运率，检测到更高的细胞膜</w:t>
      </w:r>
      <w:proofErr w:type="gramStart"/>
      <w:r w:rsidRPr="002E17DA">
        <w:rPr>
          <w:rFonts w:eastAsia="仿宋_GB2312"/>
          <w:bCs/>
          <w:kern w:val="0"/>
          <w:sz w:val="32"/>
          <w:szCs w:val="32"/>
        </w:rPr>
        <w:t>基底测端</w:t>
      </w:r>
      <w:proofErr w:type="gramEnd"/>
      <w:r w:rsidRPr="002E17DA">
        <w:rPr>
          <w:rFonts w:eastAsia="仿宋_GB2312"/>
          <w:bCs/>
          <w:kern w:val="0"/>
          <w:sz w:val="32"/>
          <w:szCs w:val="32"/>
        </w:rPr>
        <w:t>-</w:t>
      </w:r>
      <w:r w:rsidRPr="002E17DA">
        <w:rPr>
          <w:rFonts w:eastAsia="仿宋_GB2312"/>
          <w:bCs/>
          <w:kern w:val="0"/>
          <w:sz w:val="32"/>
          <w:szCs w:val="32"/>
        </w:rPr>
        <w:t>顶部方向的转运率。此时，监测体系中必须的肠道外排置信区间无法确定。相反，本指南中建议，对于被动转运的药物来说，要限制非人体的渗透性检测方法。</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当基于</w:t>
      </w:r>
      <w:r w:rsidRPr="002E17DA">
        <w:rPr>
          <w:rFonts w:eastAsia="仿宋_GB2312"/>
          <w:bCs/>
          <w:kern w:val="0"/>
          <w:sz w:val="32"/>
          <w:szCs w:val="32"/>
        </w:rPr>
        <w:t>BCS</w:t>
      </w:r>
      <w:r w:rsidRPr="002E17DA">
        <w:rPr>
          <w:rFonts w:eastAsia="仿宋_GB2312"/>
          <w:bCs/>
          <w:kern w:val="0"/>
          <w:sz w:val="32"/>
          <w:szCs w:val="32"/>
        </w:rPr>
        <w:t>对药物的渗透性进行分类时，如满足下列任</w:t>
      </w:r>
      <w:proofErr w:type="gramStart"/>
      <w:r w:rsidRPr="002E17DA">
        <w:rPr>
          <w:rFonts w:eastAsia="仿宋_GB2312"/>
          <w:bCs/>
          <w:kern w:val="0"/>
          <w:sz w:val="32"/>
          <w:szCs w:val="32"/>
        </w:rPr>
        <w:t>一</w:t>
      </w:r>
      <w:proofErr w:type="gramEnd"/>
      <w:r w:rsidRPr="002E17DA">
        <w:rPr>
          <w:rFonts w:eastAsia="仿宋_GB2312"/>
          <w:bCs/>
          <w:kern w:val="0"/>
          <w:sz w:val="32"/>
          <w:szCs w:val="32"/>
        </w:rPr>
        <w:t>条件，可以很明确地推断出药物是被动转运机制：</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w:t>
      </w:r>
      <w:r w:rsidRPr="002E17DA">
        <w:rPr>
          <w:rFonts w:eastAsia="仿宋_GB2312"/>
          <w:bCs/>
          <w:kern w:val="0"/>
          <w:sz w:val="32"/>
          <w:szCs w:val="32"/>
        </w:rPr>
        <w:t>1</w:t>
      </w:r>
      <w:r w:rsidRPr="002E17DA">
        <w:rPr>
          <w:rFonts w:eastAsia="仿宋_GB2312"/>
          <w:bCs/>
          <w:kern w:val="0"/>
          <w:sz w:val="32"/>
          <w:szCs w:val="32"/>
        </w:rPr>
        <w:t>）</w:t>
      </w:r>
      <w:r w:rsidRPr="002E17DA">
        <w:rPr>
          <w:rFonts w:eastAsia="仿宋_GB2312"/>
          <w:bCs/>
          <w:spacing w:val="14"/>
          <w:kern w:val="0"/>
          <w:sz w:val="32"/>
          <w:szCs w:val="32"/>
        </w:rPr>
        <w:t>人体内，剂量</w:t>
      </w:r>
      <w:r w:rsidRPr="002E17DA">
        <w:rPr>
          <w:rFonts w:eastAsia="仿宋_GB2312"/>
          <w:bCs/>
          <w:kern w:val="0"/>
          <w:sz w:val="32"/>
          <w:szCs w:val="32"/>
        </w:rPr>
        <w:t>（</w:t>
      </w:r>
      <w:r w:rsidRPr="002E17DA">
        <w:rPr>
          <w:rFonts w:eastAsia="仿宋_GB2312"/>
          <w:bCs/>
          <w:spacing w:val="14"/>
          <w:kern w:val="0"/>
          <w:sz w:val="32"/>
          <w:szCs w:val="32"/>
        </w:rPr>
        <w:t>例如相关的临床剂量范围</w:t>
      </w:r>
      <w:r w:rsidRPr="002E17DA">
        <w:rPr>
          <w:rFonts w:eastAsia="仿宋_GB2312"/>
          <w:sz w:val="32"/>
          <w:szCs w:val="32"/>
        </w:rPr>
        <w:t>）</w:t>
      </w:r>
      <w:r w:rsidRPr="002E17DA">
        <w:rPr>
          <w:rFonts w:eastAsia="仿宋_GB2312"/>
          <w:bCs/>
          <w:spacing w:val="14"/>
          <w:kern w:val="0"/>
          <w:sz w:val="32"/>
          <w:szCs w:val="32"/>
        </w:rPr>
        <w:t>和浓度</w:t>
      </w:r>
      <w:r w:rsidRPr="002E17DA">
        <w:rPr>
          <w:rFonts w:eastAsia="仿宋_GB2312"/>
          <w:bCs/>
          <w:kern w:val="0"/>
          <w:sz w:val="32"/>
          <w:szCs w:val="32"/>
        </w:rPr>
        <w:t>-</w:t>
      </w:r>
      <w:r w:rsidRPr="002E17DA">
        <w:rPr>
          <w:rFonts w:eastAsia="仿宋_GB2312"/>
          <w:bCs/>
          <w:kern w:val="0"/>
          <w:sz w:val="32"/>
          <w:szCs w:val="32"/>
        </w:rPr>
        <w:t>时间曲线下面积表现出线性（药代动力学</w:t>
      </w:r>
      <w:r w:rsidRPr="002E17DA">
        <w:rPr>
          <w:rFonts w:eastAsia="仿宋_GB2312"/>
          <w:sz w:val="32"/>
          <w:szCs w:val="32"/>
        </w:rPr>
        <w:t>）</w:t>
      </w:r>
      <w:r w:rsidRPr="002E17DA">
        <w:rPr>
          <w:rFonts w:eastAsia="仿宋_GB2312"/>
          <w:bCs/>
          <w:kern w:val="0"/>
          <w:sz w:val="32"/>
          <w:szCs w:val="32"/>
        </w:rPr>
        <w:t>关系。</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lastRenderedPageBreak/>
        <w:t>（</w:t>
      </w:r>
      <w:r w:rsidRPr="002E17DA">
        <w:rPr>
          <w:rFonts w:eastAsia="仿宋_GB2312"/>
          <w:bCs/>
          <w:kern w:val="0"/>
          <w:sz w:val="32"/>
          <w:szCs w:val="32"/>
        </w:rPr>
        <w:t>2</w:t>
      </w:r>
      <w:r w:rsidRPr="002E17DA">
        <w:rPr>
          <w:rFonts w:eastAsia="仿宋_GB2312"/>
          <w:bCs/>
          <w:kern w:val="0"/>
          <w:sz w:val="32"/>
          <w:szCs w:val="32"/>
        </w:rPr>
        <w:t>）测量的体内或原位渗透性与采用动物模型时灌注液的初始药物浓度（例如，</w:t>
      </w:r>
      <w:r w:rsidRPr="002E17DA">
        <w:rPr>
          <w:rFonts w:eastAsia="仿宋_GB2312"/>
          <w:bCs/>
          <w:kern w:val="0"/>
          <w:sz w:val="32"/>
          <w:szCs w:val="32"/>
        </w:rPr>
        <w:t>250ml</w:t>
      </w:r>
      <w:r w:rsidRPr="002E17DA">
        <w:rPr>
          <w:rFonts w:eastAsia="仿宋_GB2312"/>
          <w:bCs/>
          <w:kern w:val="0"/>
          <w:sz w:val="32"/>
          <w:szCs w:val="32"/>
        </w:rPr>
        <w:t>液体中分别溶解</w:t>
      </w:r>
      <w:r w:rsidRPr="002E17DA">
        <w:rPr>
          <w:rFonts w:eastAsia="仿宋_GB2312"/>
          <w:bCs/>
          <w:kern w:val="0"/>
          <w:sz w:val="32"/>
          <w:szCs w:val="32"/>
        </w:rPr>
        <w:t>0.01</w:t>
      </w:r>
      <w:r w:rsidRPr="002E17DA">
        <w:rPr>
          <w:rFonts w:eastAsia="仿宋_GB2312"/>
          <w:bCs/>
          <w:kern w:val="0"/>
          <w:sz w:val="32"/>
          <w:szCs w:val="32"/>
        </w:rPr>
        <w:t>、</w:t>
      </w:r>
      <w:r w:rsidRPr="002E17DA">
        <w:rPr>
          <w:rFonts w:eastAsia="仿宋_GB2312"/>
          <w:bCs/>
          <w:kern w:val="0"/>
          <w:sz w:val="32"/>
          <w:szCs w:val="32"/>
        </w:rPr>
        <w:t>0.1</w:t>
      </w:r>
      <w:r w:rsidRPr="002E17DA">
        <w:rPr>
          <w:rFonts w:eastAsia="仿宋_GB2312"/>
          <w:bCs/>
          <w:kern w:val="0"/>
          <w:sz w:val="32"/>
          <w:szCs w:val="32"/>
        </w:rPr>
        <w:t>和</w:t>
      </w:r>
      <w:r w:rsidRPr="002E17DA">
        <w:rPr>
          <w:rFonts w:eastAsia="仿宋_GB2312"/>
          <w:bCs/>
          <w:kern w:val="0"/>
          <w:sz w:val="32"/>
          <w:szCs w:val="32"/>
        </w:rPr>
        <w:t>1</w:t>
      </w:r>
      <w:r w:rsidRPr="002E17DA">
        <w:rPr>
          <w:rFonts w:eastAsia="仿宋_GB2312"/>
          <w:bCs/>
          <w:kern w:val="0"/>
          <w:sz w:val="32"/>
          <w:szCs w:val="32"/>
        </w:rPr>
        <w:t>倍最高剂量）无关。</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w:t>
      </w:r>
      <w:r w:rsidRPr="002E17DA">
        <w:rPr>
          <w:rFonts w:eastAsia="仿宋_GB2312"/>
          <w:bCs/>
          <w:kern w:val="0"/>
          <w:sz w:val="32"/>
          <w:szCs w:val="32"/>
        </w:rPr>
        <w:t>3</w:t>
      </w:r>
      <w:r w:rsidRPr="002E17DA">
        <w:rPr>
          <w:rFonts w:eastAsia="仿宋_GB2312"/>
          <w:bCs/>
          <w:kern w:val="0"/>
          <w:sz w:val="32"/>
          <w:szCs w:val="32"/>
        </w:rPr>
        <w:t>）使用适当的、已被证明能表达已知转运蛋白的细胞培养方法时，其供体液和转运方向（例如，在给定的药物浓度中，细胞膜基底侧端</w:t>
      </w:r>
      <w:r w:rsidRPr="002E17DA">
        <w:rPr>
          <w:rFonts w:eastAsia="仿宋_GB2312"/>
          <w:bCs/>
          <w:kern w:val="0"/>
          <w:sz w:val="32"/>
          <w:szCs w:val="32"/>
        </w:rPr>
        <w:t>-</w:t>
      </w:r>
      <w:r w:rsidRPr="002E17DA">
        <w:rPr>
          <w:rFonts w:eastAsia="仿宋_GB2312"/>
          <w:bCs/>
          <w:kern w:val="0"/>
          <w:sz w:val="32"/>
          <w:szCs w:val="32"/>
        </w:rPr>
        <w:t>顶端方向和细胞膜顶端</w:t>
      </w:r>
      <w:r w:rsidRPr="002E17DA">
        <w:rPr>
          <w:rFonts w:eastAsia="仿宋_GB2312"/>
          <w:bCs/>
          <w:kern w:val="0"/>
          <w:sz w:val="32"/>
          <w:szCs w:val="32"/>
        </w:rPr>
        <w:t>-</w:t>
      </w:r>
      <w:r w:rsidRPr="002E17DA">
        <w:rPr>
          <w:rFonts w:eastAsia="仿宋_GB2312"/>
          <w:bCs/>
          <w:kern w:val="0"/>
          <w:sz w:val="32"/>
          <w:szCs w:val="32"/>
        </w:rPr>
        <w:t>基地侧端方向的转运率并无显著统计学上的差异</w:t>
      </w:r>
      <w:r w:rsidRPr="002E17DA">
        <w:rPr>
          <w:rFonts w:eastAsia="仿宋_GB2312"/>
          <w:sz w:val="32"/>
          <w:szCs w:val="32"/>
        </w:rPr>
        <w:t>）</w:t>
      </w:r>
      <w:r w:rsidRPr="002E17DA">
        <w:rPr>
          <w:rFonts w:eastAsia="仿宋_GB2312"/>
          <w:bCs/>
          <w:kern w:val="0"/>
          <w:sz w:val="32"/>
          <w:szCs w:val="32"/>
        </w:rPr>
        <w:t>证明测得的体外渗透性与药物的起始浓度（例如，在</w:t>
      </w:r>
      <w:r w:rsidRPr="002E17DA">
        <w:rPr>
          <w:rFonts w:eastAsia="仿宋_GB2312"/>
          <w:bCs/>
          <w:kern w:val="0"/>
          <w:sz w:val="32"/>
          <w:szCs w:val="32"/>
        </w:rPr>
        <w:t>250ml</w:t>
      </w:r>
      <w:r w:rsidRPr="002E17DA">
        <w:rPr>
          <w:rFonts w:eastAsia="仿宋_GB2312"/>
          <w:bCs/>
          <w:kern w:val="0"/>
          <w:sz w:val="32"/>
          <w:szCs w:val="32"/>
        </w:rPr>
        <w:t>液体中溶解</w:t>
      </w:r>
      <w:r w:rsidRPr="002E17DA">
        <w:rPr>
          <w:rFonts w:eastAsia="仿宋_GB2312"/>
          <w:bCs/>
          <w:kern w:val="0"/>
          <w:sz w:val="32"/>
          <w:szCs w:val="32"/>
        </w:rPr>
        <w:t>0.01</w:t>
      </w:r>
      <w:r w:rsidRPr="002E17DA">
        <w:rPr>
          <w:rFonts w:eastAsia="仿宋_GB2312"/>
          <w:bCs/>
          <w:kern w:val="0"/>
          <w:sz w:val="32"/>
          <w:szCs w:val="32"/>
        </w:rPr>
        <w:t>，</w:t>
      </w:r>
      <w:r w:rsidRPr="002E17DA">
        <w:rPr>
          <w:rFonts w:eastAsia="仿宋_GB2312"/>
          <w:bCs/>
          <w:kern w:val="0"/>
          <w:sz w:val="32"/>
          <w:szCs w:val="32"/>
        </w:rPr>
        <w:t>0.1</w:t>
      </w:r>
      <w:r w:rsidRPr="002E17DA">
        <w:rPr>
          <w:rFonts w:eastAsia="仿宋_GB2312"/>
          <w:bCs/>
          <w:kern w:val="0"/>
          <w:sz w:val="32"/>
          <w:szCs w:val="32"/>
        </w:rPr>
        <w:t>和</w:t>
      </w:r>
      <w:r w:rsidRPr="002E17DA">
        <w:rPr>
          <w:rFonts w:eastAsia="仿宋_GB2312"/>
          <w:bCs/>
          <w:kern w:val="0"/>
          <w:sz w:val="32"/>
          <w:szCs w:val="32"/>
        </w:rPr>
        <w:t>1</w:t>
      </w:r>
      <w:r w:rsidRPr="002E17DA">
        <w:rPr>
          <w:rFonts w:eastAsia="仿宋_GB2312"/>
          <w:bCs/>
          <w:kern w:val="0"/>
          <w:sz w:val="32"/>
          <w:szCs w:val="32"/>
        </w:rPr>
        <w:t>倍最高剂量</w:t>
      </w:r>
      <w:r w:rsidRPr="002E17DA">
        <w:rPr>
          <w:rFonts w:eastAsia="仿宋_GB2312"/>
          <w:sz w:val="32"/>
          <w:szCs w:val="32"/>
        </w:rPr>
        <w:t>）</w:t>
      </w:r>
      <w:r w:rsidRPr="002E17DA">
        <w:rPr>
          <w:rFonts w:eastAsia="仿宋_GB2312"/>
          <w:bCs/>
          <w:kern w:val="0"/>
          <w:sz w:val="32"/>
          <w:szCs w:val="32"/>
        </w:rPr>
        <w:t>无关。</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为了申请人体生物等效性豁免而解释一个渗透性检测方法的实用性，应当用足够的模型药物来说明受试者体内的渗透性检测值和药物吸收程度数据的顺序关系。人体内肠道灌注研究，推荐使用</w:t>
      </w:r>
      <w:r w:rsidRPr="002E17DA">
        <w:rPr>
          <w:rFonts w:eastAsia="仿宋_GB2312"/>
          <w:bCs/>
          <w:kern w:val="0"/>
          <w:sz w:val="32"/>
          <w:szCs w:val="32"/>
        </w:rPr>
        <w:t>6</w:t>
      </w:r>
      <w:r w:rsidRPr="002E17DA">
        <w:rPr>
          <w:rFonts w:eastAsia="仿宋_GB2312"/>
          <w:bCs/>
          <w:kern w:val="0"/>
          <w:sz w:val="32"/>
          <w:szCs w:val="32"/>
        </w:rPr>
        <w:t>种模型药物。动物的体内或原位灌注研究或者体外培养细胞研究，推荐</w:t>
      </w:r>
      <w:r w:rsidRPr="002E17DA">
        <w:rPr>
          <w:rFonts w:eastAsia="仿宋_GB2312"/>
          <w:bCs/>
          <w:kern w:val="0"/>
          <w:sz w:val="32"/>
          <w:szCs w:val="32"/>
        </w:rPr>
        <w:t>20</w:t>
      </w:r>
      <w:r w:rsidRPr="002E17DA">
        <w:rPr>
          <w:rFonts w:eastAsia="仿宋_GB2312"/>
          <w:bCs/>
          <w:kern w:val="0"/>
          <w:sz w:val="32"/>
          <w:szCs w:val="32"/>
        </w:rPr>
        <w:t>种模型药物。根据研究的可变性，研究中应使用足够数量的被试者、动物、离体组织样品或者单层细胞，以提供可靠的药物渗透性评价。这个顺序关系应考虑到高、低肠道通透性的原料药的精确区别。</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为了说明一个分析方法的适用性，应该说明模型药物的渗透性：低渗透性（如，＜</w:t>
      </w:r>
      <w:r w:rsidRPr="002E17DA">
        <w:rPr>
          <w:rFonts w:eastAsia="仿宋_GB2312"/>
          <w:bCs/>
          <w:kern w:val="0"/>
          <w:sz w:val="32"/>
          <w:szCs w:val="32"/>
        </w:rPr>
        <w:t>50%</w:t>
      </w:r>
      <w:r w:rsidRPr="002E17DA">
        <w:rPr>
          <w:rFonts w:eastAsia="仿宋_GB2312"/>
          <w:sz w:val="32"/>
          <w:szCs w:val="32"/>
        </w:rPr>
        <w:t>）</w:t>
      </w:r>
      <w:r w:rsidRPr="002E17DA">
        <w:rPr>
          <w:rFonts w:eastAsia="仿宋_GB2312"/>
          <w:bCs/>
          <w:kern w:val="0"/>
          <w:sz w:val="32"/>
          <w:szCs w:val="32"/>
        </w:rPr>
        <w:t>、中渗透性（如，</w:t>
      </w:r>
      <w:r w:rsidRPr="002E17DA">
        <w:rPr>
          <w:rFonts w:eastAsia="仿宋_GB2312"/>
          <w:bCs/>
          <w:kern w:val="0"/>
          <w:sz w:val="32"/>
          <w:szCs w:val="32"/>
        </w:rPr>
        <w:t>50%—84%</w:t>
      </w:r>
      <w:r w:rsidRPr="002E17DA">
        <w:rPr>
          <w:rFonts w:eastAsia="仿宋_GB2312"/>
          <w:sz w:val="32"/>
          <w:szCs w:val="32"/>
        </w:rPr>
        <w:t>）</w:t>
      </w:r>
      <w:r w:rsidRPr="002E17DA">
        <w:rPr>
          <w:rFonts w:eastAsia="仿宋_GB2312"/>
          <w:bCs/>
          <w:kern w:val="0"/>
          <w:sz w:val="32"/>
          <w:szCs w:val="32"/>
        </w:rPr>
        <w:t>和高渗透性（</w:t>
      </w:r>
      <w:r w:rsidRPr="002E17DA">
        <w:rPr>
          <w:rFonts w:eastAsia="仿宋_GB2312"/>
          <w:bCs/>
          <w:kern w:val="0"/>
          <w:sz w:val="32"/>
          <w:szCs w:val="32"/>
        </w:rPr>
        <w:t>≥85%</w:t>
      </w:r>
      <w:r w:rsidRPr="002E17DA">
        <w:rPr>
          <w:rFonts w:eastAsia="仿宋_GB2312"/>
          <w:sz w:val="32"/>
          <w:szCs w:val="32"/>
        </w:rPr>
        <w:t>）</w:t>
      </w:r>
      <w:r w:rsidRPr="002E17DA">
        <w:rPr>
          <w:rFonts w:eastAsia="仿宋_GB2312"/>
          <w:bCs/>
          <w:kern w:val="0"/>
          <w:sz w:val="32"/>
          <w:szCs w:val="32"/>
        </w:rPr>
        <w:t>。申请者可在附录</w:t>
      </w:r>
      <w:r w:rsidRPr="002E17DA">
        <w:rPr>
          <w:rFonts w:eastAsia="仿宋_GB2312"/>
          <w:bCs/>
          <w:kern w:val="0"/>
          <w:sz w:val="32"/>
          <w:szCs w:val="32"/>
        </w:rPr>
        <w:t>A</w:t>
      </w:r>
      <w:r w:rsidRPr="002E17DA">
        <w:rPr>
          <w:rFonts w:eastAsia="仿宋_GB2312"/>
          <w:bCs/>
          <w:kern w:val="0"/>
          <w:sz w:val="32"/>
          <w:szCs w:val="32"/>
        </w:rPr>
        <w:t>里面提供的药物和</w:t>
      </w:r>
      <w:r w:rsidRPr="002E17DA">
        <w:rPr>
          <w:rFonts w:eastAsia="仿宋_GB2312"/>
          <w:bCs/>
          <w:kern w:val="0"/>
          <w:sz w:val="32"/>
          <w:szCs w:val="32"/>
        </w:rPr>
        <w:t>/</w:t>
      </w:r>
      <w:r w:rsidRPr="002E17DA">
        <w:rPr>
          <w:rFonts w:eastAsia="仿宋_GB2312"/>
          <w:bCs/>
          <w:kern w:val="0"/>
          <w:sz w:val="32"/>
          <w:szCs w:val="32"/>
        </w:rPr>
        <w:t>或化学物质列表里面选择化合物，若其他药物有已知的吸收机制和体内药物吸收度的可靠性评价，也可以选择这些药物。</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lastRenderedPageBreak/>
        <w:t>在阐述了一个分析方法的适用性并且完善了同一个研究方案后，所有选择的模型药物后续分类研究中不需重新检测。而用一个低渗透率和一个高渗透率的模型药物作为内标替代（例如，含有被测药物的灌注液或供体液）。这两个内标是在特定类型灌注技术（如闭环技术）中流体体积标记物之外的（或如聚乙二醇</w:t>
      </w:r>
      <w:r w:rsidRPr="002E17DA">
        <w:rPr>
          <w:rFonts w:eastAsia="仿宋_GB2312"/>
          <w:bCs/>
          <w:kern w:val="0"/>
          <w:sz w:val="32"/>
          <w:szCs w:val="32"/>
        </w:rPr>
        <w:t>4000</w:t>
      </w:r>
      <w:r w:rsidRPr="002E17DA">
        <w:rPr>
          <w:rFonts w:eastAsia="仿宋_GB2312"/>
          <w:bCs/>
          <w:kern w:val="0"/>
          <w:sz w:val="32"/>
          <w:szCs w:val="32"/>
        </w:rPr>
        <w:t>一样的零渗透性化合物）。内标物质的选择应基于与被测药物具有兼容性（例如，内标物质不应显示出任何显著的物理、化学或者渗透性相互作用）。</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proofErr w:type="gramStart"/>
      <w:r w:rsidRPr="002E17DA">
        <w:rPr>
          <w:rFonts w:eastAsia="仿宋_GB2312"/>
          <w:bCs/>
          <w:kern w:val="0"/>
          <w:sz w:val="32"/>
          <w:szCs w:val="32"/>
        </w:rPr>
        <w:t>当无法</w:t>
      </w:r>
      <w:proofErr w:type="gramEnd"/>
      <w:r w:rsidRPr="002E17DA">
        <w:rPr>
          <w:rFonts w:eastAsia="仿宋_GB2312"/>
          <w:bCs/>
          <w:kern w:val="0"/>
          <w:sz w:val="32"/>
          <w:szCs w:val="32"/>
        </w:rPr>
        <w:t>遵循该原则时，内标物质的渗透性测定应和被测原料药一样，使用同样的受试者、动物、组织或表皮细胞。内标物质的渗透性测试值在不同试验中不应相差巨大，包括用来证明稳定性的试验。在体外或原位试验结束时，应该测定膜中药物的含量。</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对于特定条件下的分析方法，建议选择一个和高</w:t>
      </w:r>
      <w:r w:rsidRPr="002E17DA">
        <w:rPr>
          <w:rFonts w:eastAsia="仿宋_GB2312"/>
          <w:bCs/>
          <w:kern w:val="0"/>
          <w:sz w:val="32"/>
          <w:szCs w:val="32"/>
        </w:rPr>
        <w:t>/</w:t>
      </w:r>
      <w:r w:rsidRPr="002E17DA">
        <w:rPr>
          <w:rFonts w:eastAsia="仿宋_GB2312"/>
          <w:bCs/>
          <w:kern w:val="0"/>
          <w:sz w:val="32"/>
          <w:szCs w:val="32"/>
        </w:rPr>
        <w:t>低渗透率分级上下限接近的内标物，用以对被测药物的渗透性进行分类。例如，当一个被测药物的渗透性检测值和选定的高渗透率内标药物的渗透性相同或更高，则该药物被认为是具有高渗透性的。</w:t>
      </w:r>
    </w:p>
    <w:p w:rsidR="00052878" w:rsidRPr="002E17DA" w:rsidRDefault="00052878" w:rsidP="00052878">
      <w:pPr>
        <w:widowControl/>
        <w:shd w:val="clear" w:color="auto" w:fill="FFFFFF"/>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3</w:t>
      </w:r>
      <w:r>
        <w:rPr>
          <w:rFonts w:eastAsia="仿宋_GB2312" w:hint="eastAsia"/>
          <w:bCs/>
          <w:kern w:val="0"/>
          <w:sz w:val="32"/>
          <w:szCs w:val="32"/>
        </w:rPr>
        <w:t>．</w:t>
      </w:r>
      <w:r w:rsidRPr="002E17DA">
        <w:rPr>
          <w:rFonts w:eastAsia="仿宋_GB2312"/>
          <w:bCs/>
          <w:kern w:val="0"/>
          <w:sz w:val="32"/>
          <w:szCs w:val="32"/>
        </w:rPr>
        <w:t>胃肠道稳定性研究</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在测定吸收度时，以尿液的总放射性作为研究对象的质量平衡研究，并没有考虑到药物在肠道膜渗透之前在胃肠液中发生降解的程度。此外，有些测定渗透性的分析方法可能</w:t>
      </w:r>
      <w:r w:rsidRPr="002E17DA">
        <w:rPr>
          <w:rFonts w:eastAsia="仿宋_GB2312"/>
          <w:bCs/>
          <w:kern w:val="0"/>
          <w:sz w:val="32"/>
          <w:szCs w:val="32"/>
        </w:rPr>
        <w:lastRenderedPageBreak/>
        <w:t>是基于体内或原位灌注到人和</w:t>
      </w:r>
      <w:r w:rsidRPr="002E17DA">
        <w:rPr>
          <w:rFonts w:eastAsia="仿宋_GB2312"/>
          <w:bCs/>
          <w:kern w:val="0"/>
          <w:sz w:val="32"/>
          <w:szCs w:val="32"/>
        </w:rPr>
        <w:t>/</w:t>
      </w:r>
      <w:r w:rsidRPr="002E17DA">
        <w:rPr>
          <w:rFonts w:eastAsia="仿宋_GB2312"/>
          <w:bCs/>
          <w:kern w:val="0"/>
          <w:sz w:val="32"/>
          <w:szCs w:val="32"/>
        </w:rPr>
        <w:t>或动物的胃肠道中药物的减少或清除。证明药物在胃肠道的流失是发生在肠道薄膜渗透，而不是降解反应，将帮助确定药物的渗透性。</w:t>
      </w:r>
    </w:p>
    <w:p w:rsidR="00052878" w:rsidRPr="002E17DA" w:rsidRDefault="00052878" w:rsidP="00052878">
      <w:pPr>
        <w:widowControl/>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药物在胃肠道中的稳定性可以利用在人体内取出的胃液和肠液来证明。药物溶液应在这些液体中以</w:t>
      </w:r>
      <w:r w:rsidRPr="002E17DA">
        <w:rPr>
          <w:rFonts w:eastAsia="仿宋_GB2312"/>
          <w:bCs/>
          <w:kern w:val="0"/>
          <w:sz w:val="32"/>
          <w:szCs w:val="32"/>
        </w:rPr>
        <w:t>37</w:t>
      </w:r>
      <w:r w:rsidRPr="002E17DA">
        <w:rPr>
          <w:rFonts w:ascii="宋体" w:hAnsi="宋体" w:cs="宋体" w:hint="eastAsia"/>
          <w:bCs/>
          <w:kern w:val="0"/>
          <w:sz w:val="32"/>
          <w:szCs w:val="32"/>
        </w:rPr>
        <w:t>℃</w:t>
      </w:r>
      <w:r w:rsidRPr="002E17DA">
        <w:rPr>
          <w:rFonts w:eastAsia="仿宋_GB2312"/>
          <w:bCs/>
          <w:kern w:val="0"/>
          <w:sz w:val="32"/>
          <w:szCs w:val="32"/>
        </w:rPr>
        <w:t>孵育一段时间，以模拟药物在人体内和该液体的接触过程，例如，胃液中</w:t>
      </w:r>
      <w:r w:rsidRPr="002E17DA">
        <w:rPr>
          <w:rFonts w:eastAsia="仿宋_GB2312"/>
          <w:bCs/>
          <w:kern w:val="0"/>
          <w:sz w:val="32"/>
          <w:szCs w:val="32"/>
        </w:rPr>
        <w:t>1</w:t>
      </w:r>
      <w:r w:rsidRPr="002E17DA">
        <w:rPr>
          <w:rFonts w:eastAsia="仿宋_GB2312"/>
          <w:bCs/>
          <w:kern w:val="0"/>
          <w:sz w:val="32"/>
          <w:szCs w:val="32"/>
        </w:rPr>
        <w:t>小时，肠液中</w:t>
      </w:r>
      <w:r w:rsidRPr="002E17DA">
        <w:rPr>
          <w:rFonts w:eastAsia="仿宋_GB2312"/>
          <w:bCs/>
          <w:kern w:val="0"/>
          <w:sz w:val="32"/>
          <w:szCs w:val="32"/>
        </w:rPr>
        <w:t>3</w:t>
      </w:r>
      <w:r w:rsidRPr="002E17DA">
        <w:rPr>
          <w:rFonts w:eastAsia="仿宋_GB2312"/>
          <w:bCs/>
          <w:kern w:val="0"/>
          <w:sz w:val="32"/>
          <w:szCs w:val="32"/>
        </w:rPr>
        <w:t>小时。之后应该用已验证的稳定性测定方法来测定药物浓度。这个操作中药物显著地分解（＞</w:t>
      </w:r>
      <w:r w:rsidRPr="002E17DA">
        <w:rPr>
          <w:rFonts w:eastAsia="仿宋_GB2312"/>
          <w:bCs/>
          <w:kern w:val="0"/>
          <w:sz w:val="32"/>
          <w:szCs w:val="32"/>
        </w:rPr>
        <w:t>5%</w:t>
      </w:r>
      <w:r w:rsidRPr="002E17DA">
        <w:rPr>
          <w:rFonts w:eastAsia="仿宋_GB2312"/>
          <w:bCs/>
          <w:kern w:val="0"/>
          <w:sz w:val="32"/>
          <w:szCs w:val="32"/>
        </w:rPr>
        <w:t>）可能代表着潜在的不稳定性。获得人胃肠液一般采用插管法，某些情况下会比较困难。在经过适当调整后，某些合适的动物模型胃肠</w:t>
      </w:r>
      <w:proofErr w:type="gramStart"/>
      <w:r w:rsidRPr="002E17DA">
        <w:rPr>
          <w:rFonts w:eastAsia="仿宋_GB2312"/>
          <w:bCs/>
          <w:kern w:val="0"/>
          <w:sz w:val="32"/>
          <w:szCs w:val="32"/>
        </w:rPr>
        <w:t>液或者</w:t>
      </w:r>
      <w:proofErr w:type="gramEnd"/>
      <w:r w:rsidRPr="002E17DA">
        <w:rPr>
          <w:rFonts w:eastAsia="仿宋_GB2312"/>
          <w:bCs/>
          <w:kern w:val="0"/>
          <w:sz w:val="32"/>
          <w:szCs w:val="32"/>
        </w:rPr>
        <w:t>模拟液体，例如中国药典</w:t>
      </w:r>
      <w:r w:rsidRPr="002E17DA">
        <w:rPr>
          <w:rFonts w:eastAsia="仿宋_GB2312"/>
          <w:bCs/>
          <w:kern w:val="0"/>
          <w:sz w:val="32"/>
          <w:szCs w:val="32"/>
        </w:rPr>
        <w:t>2015</w:t>
      </w:r>
      <w:r w:rsidRPr="002E17DA">
        <w:rPr>
          <w:rFonts w:eastAsia="仿宋_GB2312"/>
          <w:bCs/>
          <w:kern w:val="0"/>
          <w:sz w:val="32"/>
          <w:szCs w:val="32"/>
        </w:rPr>
        <w:t>版收录的标准胃液和肠液，也可以作为替代使用。</w:t>
      </w:r>
    </w:p>
    <w:p w:rsidR="00052878" w:rsidRPr="002E17DA" w:rsidRDefault="00052878" w:rsidP="00052878">
      <w:pPr>
        <w:widowControl/>
        <w:adjustRightInd w:val="0"/>
        <w:snapToGrid w:val="0"/>
        <w:spacing w:line="360" w:lineRule="auto"/>
        <w:ind w:firstLineChars="200" w:firstLine="640"/>
        <w:rPr>
          <w:rFonts w:eastAsia="楷体_GB2312"/>
          <w:bCs/>
          <w:kern w:val="0"/>
          <w:sz w:val="32"/>
          <w:szCs w:val="32"/>
        </w:rPr>
      </w:pPr>
      <w:r w:rsidRPr="002E17DA">
        <w:rPr>
          <w:rFonts w:eastAsia="楷体_GB2312"/>
          <w:bCs/>
          <w:kern w:val="0"/>
          <w:sz w:val="32"/>
          <w:szCs w:val="32"/>
        </w:rPr>
        <w:t>（三）测定制剂的溶出特性和溶出曲线相似性比较</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采用中国药典</w:t>
      </w:r>
      <w:r w:rsidRPr="002E17DA">
        <w:rPr>
          <w:rFonts w:eastAsia="仿宋_GB2312"/>
          <w:bCs/>
          <w:kern w:val="0"/>
          <w:sz w:val="32"/>
          <w:szCs w:val="32"/>
        </w:rPr>
        <w:t>2015</w:t>
      </w:r>
      <w:r w:rsidRPr="002E17DA">
        <w:rPr>
          <w:rFonts w:eastAsia="仿宋_GB2312"/>
          <w:bCs/>
          <w:kern w:val="0"/>
          <w:sz w:val="32"/>
          <w:szCs w:val="32"/>
        </w:rPr>
        <w:t>版附录通则（</w:t>
      </w:r>
      <w:r w:rsidRPr="002E17DA">
        <w:rPr>
          <w:rFonts w:eastAsia="仿宋_GB2312"/>
          <w:bCs/>
          <w:kern w:val="0"/>
          <w:sz w:val="32"/>
          <w:szCs w:val="32"/>
        </w:rPr>
        <w:t>0931</w:t>
      </w:r>
      <w:r w:rsidRPr="002E17DA">
        <w:rPr>
          <w:rFonts w:eastAsia="仿宋_GB2312"/>
          <w:bCs/>
          <w:kern w:val="0"/>
          <w:sz w:val="32"/>
          <w:szCs w:val="32"/>
        </w:rPr>
        <w:t>）的方法</w:t>
      </w:r>
      <w:r w:rsidRPr="002E17DA">
        <w:rPr>
          <w:rFonts w:eastAsia="仿宋_GB2312"/>
          <w:bCs/>
          <w:kern w:val="0"/>
          <w:sz w:val="32"/>
          <w:szCs w:val="32"/>
        </w:rPr>
        <w:t>1</w:t>
      </w:r>
      <w:r w:rsidRPr="002E17DA">
        <w:rPr>
          <w:rFonts w:eastAsia="仿宋_GB2312"/>
          <w:bCs/>
          <w:kern w:val="0"/>
          <w:sz w:val="32"/>
          <w:szCs w:val="32"/>
        </w:rPr>
        <w:t>（篮法）</w:t>
      </w:r>
      <w:r w:rsidRPr="002E17DA">
        <w:rPr>
          <w:rFonts w:eastAsia="仿宋_GB2312"/>
          <w:bCs/>
          <w:kern w:val="0"/>
          <w:sz w:val="32"/>
          <w:szCs w:val="32"/>
        </w:rPr>
        <w:t>,</w:t>
      </w:r>
      <w:r w:rsidRPr="002E17DA">
        <w:rPr>
          <w:rFonts w:eastAsia="仿宋_GB2312"/>
          <w:bCs/>
          <w:kern w:val="0"/>
          <w:sz w:val="32"/>
          <w:szCs w:val="32"/>
        </w:rPr>
        <w:t>转速为每分钟</w:t>
      </w:r>
      <w:r w:rsidRPr="002E17DA">
        <w:rPr>
          <w:rFonts w:eastAsia="仿宋_GB2312"/>
          <w:bCs/>
          <w:kern w:val="0"/>
          <w:sz w:val="32"/>
          <w:szCs w:val="32"/>
        </w:rPr>
        <w:t>100</w:t>
      </w:r>
      <w:r w:rsidRPr="002E17DA">
        <w:rPr>
          <w:rFonts w:eastAsia="仿宋_GB2312"/>
          <w:bCs/>
          <w:kern w:val="0"/>
          <w:sz w:val="32"/>
          <w:szCs w:val="32"/>
        </w:rPr>
        <w:t>转，或是方法</w:t>
      </w:r>
      <w:r w:rsidRPr="002E17DA">
        <w:rPr>
          <w:rFonts w:eastAsia="仿宋_GB2312"/>
          <w:bCs/>
          <w:kern w:val="0"/>
          <w:sz w:val="32"/>
          <w:szCs w:val="32"/>
        </w:rPr>
        <w:t>2</w:t>
      </w:r>
      <w:r w:rsidRPr="002E17DA">
        <w:rPr>
          <w:rFonts w:eastAsia="仿宋_GB2312"/>
          <w:bCs/>
          <w:kern w:val="0"/>
          <w:sz w:val="32"/>
          <w:szCs w:val="32"/>
        </w:rPr>
        <w:t>（桨法），转速为每分钟</w:t>
      </w:r>
      <w:r w:rsidRPr="002E17DA">
        <w:rPr>
          <w:rFonts w:eastAsia="仿宋_GB2312"/>
          <w:bCs/>
          <w:kern w:val="0"/>
          <w:sz w:val="32"/>
          <w:szCs w:val="32"/>
        </w:rPr>
        <w:t>50</w:t>
      </w:r>
      <w:r w:rsidRPr="002E17DA">
        <w:rPr>
          <w:rFonts w:eastAsia="仿宋_GB2312"/>
          <w:bCs/>
          <w:kern w:val="0"/>
          <w:sz w:val="32"/>
          <w:szCs w:val="32"/>
        </w:rPr>
        <w:t>或</w:t>
      </w:r>
      <w:r w:rsidRPr="002E17DA">
        <w:rPr>
          <w:rFonts w:eastAsia="仿宋_GB2312"/>
          <w:bCs/>
          <w:kern w:val="0"/>
          <w:sz w:val="32"/>
          <w:szCs w:val="32"/>
        </w:rPr>
        <w:t>75</w:t>
      </w:r>
      <w:r w:rsidRPr="002E17DA">
        <w:rPr>
          <w:rFonts w:eastAsia="仿宋_GB2312"/>
          <w:bCs/>
          <w:kern w:val="0"/>
          <w:sz w:val="32"/>
          <w:szCs w:val="32"/>
        </w:rPr>
        <w:t>转，溶出介质体积为</w:t>
      </w:r>
      <w:r w:rsidRPr="002E17DA">
        <w:rPr>
          <w:rFonts w:eastAsia="仿宋_GB2312"/>
          <w:bCs/>
          <w:kern w:val="0"/>
          <w:sz w:val="32"/>
          <w:szCs w:val="32"/>
        </w:rPr>
        <w:t>500ml</w:t>
      </w:r>
      <w:r w:rsidRPr="002E17DA">
        <w:rPr>
          <w:rFonts w:eastAsia="仿宋_GB2312"/>
          <w:bCs/>
          <w:kern w:val="0"/>
          <w:sz w:val="32"/>
          <w:szCs w:val="32"/>
        </w:rPr>
        <w:t>（或更少），溶出介质：（</w:t>
      </w:r>
      <w:r w:rsidRPr="002E17DA">
        <w:rPr>
          <w:rFonts w:eastAsia="仿宋_GB2312"/>
          <w:bCs/>
          <w:kern w:val="0"/>
          <w:sz w:val="32"/>
          <w:szCs w:val="32"/>
        </w:rPr>
        <w:t>1</w:t>
      </w:r>
      <w:r w:rsidRPr="002E17DA">
        <w:rPr>
          <w:rFonts w:eastAsia="仿宋_GB2312"/>
          <w:bCs/>
          <w:kern w:val="0"/>
          <w:sz w:val="32"/>
          <w:szCs w:val="32"/>
        </w:rPr>
        <w:t>）</w:t>
      </w:r>
      <w:r w:rsidRPr="002E17DA">
        <w:rPr>
          <w:rFonts w:eastAsia="仿宋_GB2312"/>
          <w:bCs/>
          <w:kern w:val="0"/>
          <w:sz w:val="32"/>
          <w:szCs w:val="32"/>
        </w:rPr>
        <w:t xml:space="preserve">0.1mol/L </w:t>
      </w:r>
      <w:proofErr w:type="spellStart"/>
      <w:r w:rsidRPr="002E17DA">
        <w:rPr>
          <w:rFonts w:eastAsia="仿宋_GB2312"/>
          <w:bCs/>
          <w:kern w:val="0"/>
          <w:sz w:val="32"/>
          <w:szCs w:val="32"/>
        </w:rPr>
        <w:t>HCl</w:t>
      </w:r>
      <w:proofErr w:type="spellEnd"/>
      <w:r w:rsidRPr="002E17DA">
        <w:rPr>
          <w:rFonts w:eastAsia="仿宋_GB2312"/>
          <w:bCs/>
          <w:kern w:val="0"/>
          <w:sz w:val="32"/>
          <w:szCs w:val="32"/>
        </w:rPr>
        <w:t>或是不含酶的模拟胃液；（</w:t>
      </w:r>
      <w:r w:rsidRPr="002E17DA">
        <w:rPr>
          <w:rFonts w:eastAsia="仿宋_GB2312"/>
          <w:bCs/>
          <w:kern w:val="0"/>
          <w:sz w:val="32"/>
          <w:szCs w:val="32"/>
        </w:rPr>
        <w:t>2</w:t>
      </w:r>
      <w:r w:rsidRPr="002E17DA">
        <w:rPr>
          <w:rFonts w:eastAsia="仿宋_GB2312"/>
          <w:bCs/>
          <w:kern w:val="0"/>
          <w:sz w:val="32"/>
          <w:szCs w:val="32"/>
        </w:rPr>
        <w:t>）</w:t>
      </w:r>
      <w:r w:rsidRPr="002E17DA">
        <w:rPr>
          <w:rFonts w:eastAsia="仿宋_GB2312"/>
          <w:bCs/>
          <w:kern w:val="0"/>
          <w:sz w:val="32"/>
          <w:szCs w:val="32"/>
        </w:rPr>
        <w:t>pH4.5</w:t>
      </w:r>
      <w:r w:rsidRPr="002E17DA">
        <w:rPr>
          <w:rFonts w:eastAsia="仿宋_GB2312"/>
          <w:bCs/>
          <w:kern w:val="0"/>
          <w:sz w:val="32"/>
          <w:szCs w:val="32"/>
        </w:rPr>
        <w:t>缓冲介质；（</w:t>
      </w:r>
      <w:r w:rsidRPr="002E17DA">
        <w:rPr>
          <w:rFonts w:eastAsia="仿宋_GB2312"/>
          <w:bCs/>
          <w:kern w:val="0"/>
          <w:sz w:val="32"/>
          <w:szCs w:val="32"/>
        </w:rPr>
        <w:t>3</w:t>
      </w:r>
      <w:r w:rsidRPr="002E17DA">
        <w:rPr>
          <w:rFonts w:eastAsia="仿宋_GB2312"/>
          <w:bCs/>
          <w:kern w:val="0"/>
          <w:sz w:val="32"/>
          <w:szCs w:val="32"/>
        </w:rPr>
        <w:t>）</w:t>
      </w:r>
      <w:r w:rsidRPr="002E17DA">
        <w:rPr>
          <w:rFonts w:eastAsia="仿宋_GB2312"/>
          <w:bCs/>
          <w:kern w:val="0"/>
          <w:sz w:val="32"/>
          <w:szCs w:val="32"/>
        </w:rPr>
        <w:t>pH6.8</w:t>
      </w:r>
      <w:r w:rsidRPr="002E17DA">
        <w:rPr>
          <w:rFonts w:eastAsia="仿宋_GB2312"/>
          <w:bCs/>
          <w:kern w:val="0"/>
          <w:sz w:val="32"/>
          <w:szCs w:val="32"/>
        </w:rPr>
        <w:t>缓冲介质或是不含酶的模拟肠液。有明胶包衣的胶囊和片剂，则可以采用加酶的人工肠液和胃液。</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溶出仪应满足相关技术要求，并通过机械验证及性能验证试验。溶出装置的选择（</w:t>
      </w:r>
      <w:proofErr w:type="gramStart"/>
      <w:r w:rsidRPr="002E17DA">
        <w:rPr>
          <w:rFonts w:eastAsia="仿宋_GB2312"/>
          <w:bCs/>
          <w:kern w:val="0"/>
          <w:sz w:val="32"/>
          <w:szCs w:val="32"/>
        </w:rPr>
        <w:t>篮法或</w:t>
      </w:r>
      <w:proofErr w:type="gramEnd"/>
      <w:r w:rsidRPr="002E17DA">
        <w:rPr>
          <w:rFonts w:eastAsia="仿宋_GB2312"/>
          <w:bCs/>
          <w:kern w:val="0"/>
          <w:sz w:val="32"/>
          <w:szCs w:val="32"/>
        </w:rPr>
        <w:t>桨法）应根据产品体外溶出和</w:t>
      </w:r>
      <w:proofErr w:type="gramStart"/>
      <w:r w:rsidRPr="002E17DA">
        <w:rPr>
          <w:rFonts w:eastAsia="仿宋_GB2312"/>
          <w:bCs/>
          <w:kern w:val="0"/>
          <w:sz w:val="32"/>
          <w:szCs w:val="32"/>
        </w:rPr>
        <w:t>体内药</w:t>
      </w:r>
      <w:proofErr w:type="gramEnd"/>
      <w:r w:rsidRPr="002E17DA">
        <w:rPr>
          <w:rFonts w:eastAsia="仿宋_GB2312"/>
          <w:bCs/>
          <w:kern w:val="0"/>
          <w:sz w:val="32"/>
          <w:szCs w:val="32"/>
        </w:rPr>
        <w:t>代动力学数据的对比而确定。装置</w:t>
      </w:r>
      <w:r w:rsidRPr="002E17DA">
        <w:rPr>
          <w:rFonts w:eastAsia="仿宋_GB2312"/>
          <w:bCs/>
          <w:kern w:val="0"/>
          <w:sz w:val="32"/>
          <w:szCs w:val="32"/>
        </w:rPr>
        <w:t>1</w:t>
      </w:r>
      <w:r w:rsidRPr="002E17DA">
        <w:rPr>
          <w:rFonts w:eastAsia="仿宋_GB2312"/>
          <w:bCs/>
          <w:kern w:val="0"/>
          <w:sz w:val="32"/>
          <w:szCs w:val="32"/>
        </w:rPr>
        <w:t>（篮法）通</w:t>
      </w:r>
      <w:r w:rsidRPr="002E17DA">
        <w:rPr>
          <w:rFonts w:eastAsia="仿宋_GB2312"/>
          <w:bCs/>
          <w:kern w:val="0"/>
          <w:sz w:val="32"/>
          <w:szCs w:val="32"/>
        </w:rPr>
        <w:lastRenderedPageBreak/>
        <w:t>常适用于胶囊剂和易于漂浮的产品，装置</w:t>
      </w:r>
      <w:r w:rsidRPr="002E17DA">
        <w:rPr>
          <w:rFonts w:eastAsia="仿宋_GB2312"/>
          <w:bCs/>
          <w:kern w:val="0"/>
          <w:sz w:val="32"/>
          <w:szCs w:val="32"/>
        </w:rPr>
        <w:t>2</w:t>
      </w:r>
      <w:r w:rsidRPr="002E17DA">
        <w:rPr>
          <w:rFonts w:eastAsia="仿宋_GB2312"/>
          <w:bCs/>
          <w:kern w:val="0"/>
          <w:sz w:val="32"/>
          <w:szCs w:val="32"/>
        </w:rPr>
        <w:t>（桨法）通常适用于片剂。对于某些片剂，在溶出时可能因为片剂崩解后沉在溶出杯底部而造成溶出减慢，在这种情况</w:t>
      </w:r>
      <w:proofErr w:type="gramStart"/>
      <w:r w:rsidRPr="002E17DA">
        <w:rPr>
          <w:rFonts w:eastAsia="仿宋_GB2312"/>
          <w:bCs/>
          <w:kern w:val="0"/>
          <w:sz w:val="32"/>
          <w:szCs w:val="32"/>
        </w:rPr>
        <w:t>下篮法</w:t>
      </w:r>
      <w:proofErr w:type="gramEnd"/>
      <w:r w:rsidRPr="002E17DA">
        <w:rPr>
          <w:rFonts w:eastAsia="仿宋_GB2312"/>
          <w:bCs/>
          <w:kern w:val="0"/>
          <w:sz w:val="32"/>
          <w:szCs w:val="32"/>
        </w:rPr>
        <w:t>可能要优于桨法。如果溶出测定条件为了更好地反映产品在体内的快速溶出而需要调整（比如使用与上述不同的搅拌转速），这样的调整需要比较体外溶出和体内吸收数据，以证明其合理性。（比如使用单一水溶液作为对照品的相对生物利用度研究）生物等效豁免试验至少需要</w:t>
      </w:r>
      <w:r w:rsidRPr="002E17DA">
        <w:rPr>
          <w:rFonts w:eastAsia="仿宋_GB2312"/>
          <w:bCs/>
          <w:kern w:val="0"/>
          <w:sz w:val="32"/>
          <w:szCs w:val="32"/>
        </w:rPr>
        <w:t>12</w:t>
      </w:r>
      <w:r w:rsidRPr="002E17DA">
        <w:rPr>
          <w:rFonts w:eastAsia="仿宋_GB2312"/>
          <w:bCs/>
          <w:kern w:val="0"/>
          <w:sz w:val="32"/>
          <w:szCs w:val="32"/>
        </w:rPr>
        <w:t>个单剂量产品进行支持评估。需要取足够多的时间点进行溶出曲线的绘制（例如</w:t>
      </w:r>
      <w:r w:rsidRPr="002E17DA">
        <w:rPr>
          <w:rFonts w:eastAsia="仿宋_GB2312"/>
          <w:bCs/>
          <w:kern w:val="0"/>
          <w:sz w:val="32"/>
          <w:szCs w:val="32"/>
        </w:rPr>
        <w:t>5min</w:t>
      </w:r>
      <w:r w:rsidRPr="002E17DA">
        <w:rPr>
          <w:rFonts w:eastAsia="仿宋_GB2312"/>
          <w:bCs/>
          <w:kern w:val="0"/>
          <w:sz w:val="32"/>
          <w:szCs w:val="32"/>
        </w:rPr>
        <w:t>、</w:t>
      </w:r>
      <w:r w:rsidRPr="002E17DA">
        <w:rPr>
          <w:rFonts w:eastAsia="仿宋_GB2312"/>
          <w:bCs/>
          <w:kern w:val="0"/>
          <w:sz w:val="32"/>
          <w:szCs w:val="32"/>
        </w:rPr>
        <w:t>10min</w:t>
      </w:r>
      <w:r w:rsidRPr="002E17DA">
        <w:rPr>
          <w:rFonts w:eastAsia="仿宋_GB2312"/>
          <w:bCs/>
          <w:kern w:val="0"/>
          <w:sz w:val="32"/>
          <w:szCs w:val="32"/>
        </w:rPr>
        <w:t>、</w:t>
      </w:r>
      <w:r w:rsidRPr="002E17DA">
        <w:rPr>
          <w:rFonts w:eastAsia="仿宋_GB2312"/>
          <w:bCs/>
          <w:kern w:val="0"/>
          <w:sz w:val="32"/>
          <w:szCs w:val="32"/>
        </w:rPr>
        <w:t>15min</w:t>
      </w:r>
      <w:r w:rsidRPr="002E17DA">
        <w:rPr>
          <w:rFonts w:eastAsia="仿宋_GB2312"/>
          <w:bCs/>
          <w:kern w:val="0"/>
          <w:sz w:val="32"/>
          <w:szCs w:val="32"/>
        </w:rPr>
        <w:t>、</w:t>
      </w:r>
      <w:r w:rsidRPr="002E17DA">
        <w:rPr>
          <w:rFonts w:eastAsia="仿宋_GB2312"/>
          <w:bCs/>
          <w:kern w:val="0"/>
          <w:sz w:val="32"/>
          <w:szCs w:val="32"/>
        </w:rPr>
        <w:t>20min</w:t>
      </w:r>
      <w:r w:rsidRPr="002E17DA">
        <w:rPr>
          <w:rFonts w:eastAsia="仿宋_GB2312"/>
          <w:bCs/>
          <w:kern w:val="0"/>
          <w:sz w:val="32"/>
          <w:szCs w:val="32"/>
        </w:rPr>
        <w:t>和</w:t>
      </w:r>
      <w:r w:rsidRPr="002E17DA">
        <w:rPr>
          <w:rFonts w:eastAsia="仿宋_GB2312"/>
          <w:bCs/>
          <w:kern w:val="0"/>
          <w:sz w:val="32"/>
          <w:szCs w:val="32"/>
        </w:rPr>
        <w:t>30min</w:t>
      </w:r>
      <w:r w:rsidRPr="002E17DA">
        <w:rPr>
          <w:rFonts w:eastAsia="仿宋_GB2312"/>
          <w:bCs/>
          <w:kern w:val="0"/>
          <w:sz w:val="32"/>
          <w:szCs w:val="32"/>
        </w:rPr>
        <w:t>）。</w:t>
      </w:r>
    </w:p>
    <w:p w:rsidR="00052878" w:rsidRPr="002E17DA" w:rsidRDefault="00052878" w:rsidP="00052878">
      <w:pPr>
        <w:widowControl/>
        <w:autoSpaceDE w:val="0"/>
        <w:autoSpaceDN w:val="0"/>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当对仿制制剂和</w:t>
      </w:r>
      <w:proofErr w:type="gramStart"/>
      <w:r w:rsidRPr="002E17DA">
        <w:rPr>
          <w:rFonts w:eastAsia="仿宋_GB2312"/>
          <w:bCs/>
          <w:kern w:val="0"/>
          <w:sz w:val="32"/>
          <w:szCs w:val="32"/>
        </w:rPr>
        <w:t>参比</w:t>
      </w:r>
      <w:proofErr w:type="gramEnd"/>
      <w:r w:rsidRPr="002E17DA">
        <w:rPr>
          <w:rFonts w:eastAsia="仿宋_GB2312"/>
          <w:bCs/>
          <w:kern w:val="0"/>
          <w:sz w:val="32"/>
          <w:szCs w:val="32"/>
        </w:rPr>
        <w:t>制剂的溶出曲线相似性比较时，应使用相似因子（</w:t>
      </w:r>
      <w:r w:rsidRPr="002E17DA">
        <w:rPr>
          <w:rFonts w:eastAsia="仿宋_GB2312"/>
          <w:bCs/>
          <w:kern w:val="0"/>
          <w:sz w:val="32"/>
          <w:szCs w:val="32"/>
        </w:rPr>
        <w:t>f</w:t>
      </w:r>
      <w:r w:rsidRPr="002E17DA">
        <w:rPr>
          <w:rFonts w:eastAsia="仿宋_GB2312"/>
          <w:bCs/>
          <w:kern w:val="0"/>
          <w:sz w:val="32"/>
          <w:szCs w:val="32"/>
          <w:vertAlign w:val="subscript"/>
        </w:rPr>
        <w:t>2</w:t>
      </w:r>
      <w:r w:rsidRPr="002E17DA">
        <w:rPr>
          <w:rFonts w:eastAsia="仿宋_GB2312"/>
          <w:bCs/>
          <w:kern w:val="0"/>
          <w:sz w:val="32"/>
          <w:szCs w:val="32"/>
        </w:rPr>
        <w:t>）法。相似因子是误差平方和的倒数平方根的对数变换，是两个曲线之间溶出百分率的相似性的表征。</w:t>
      </w:r>
    </w:p>
    <w:p w:rsidR="00052878" w:rsidRPr="002E17DA" w:rsidRDefault="00052878" w:rsidP="00052878">
      <w:pPr>
        <w:pStyle w:val="a5"/>
        <w:widowControl/>
        <w:spacing w:line="360" w:lineRule="auto"/>
        <w:jc w:val="center"/>
        <w:rPr>
          <w:rFonts w:ascii="Times New Roman" w:eastAsia="仿宋_GB2312" w:hAnsi="Times New Roman"/>
          <w:sz w:val="32"/>
          <w:szCs w:val="32"/>
        </w:rPr>
      </w:pPr>
      <w:r w:rsidRPr="002E17DA">
        <w:rPr>
          <w:rFonts w:ascii="Times New Roman" w:eastAsia="仿宋_GB2312" w:hAnsi="Times New Roman"/>
          <w:bCs/>
          <w:position w:val="-14"/>
          <w:sz w:val="32"/>
          <w:szCs w:val="32"/>
        </w:rPr>
        <w:object w:dxaOrig="517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3.25pt" o:ole="">
            <v:imagedata r:id="rId7" o:title=""/>
          </v:shape>
          <o:OLEObject Type="Embed" ProgID="Equation.3" ShapeID="_x0000_i1025" DrawAspect="Content" ObjectID="_1546420904" r:id="rId8"/>
        </w:object>
      </w:r>
    </w:p>
    <w:p w:rsidR="00052878" w:rsidRPr="002E17DA" w:rsidRDefault="00052878" w:rsidP="00052878">
      <w:pPr>
        <w:widowControl/>
        <w:adjustRightInd w:val="0"/>
        <w:snapToGrid w:val="0"/>
        <w:spacing w:line="360" w:lineRule="auto"/>
        <w:ind w:firstLineChars="200" w:firstLine="640"/>
        <w:rPr>
          <w:rFonts w:eastAsia="仿宋_GB2312"/>
          <w:bCs/>
          <w:kern w:val="0"/>
          <w:sz w:val="32"/>
          <w:szCs w:val="32"/>
        </w:rPr>
      </w:pPr>
      <w:proofErr w:type="spellStart"/>
      <w:r w:rsidRPr="002E17DA">
        <w:rPr>
          <w:rFonts w:eastAsia="仿宋_GB2312"/>
          <w:bCs/>
          <w:kern w:val="0"/>
          <w:sz w:val="32"/>
          <w:szCs w:val="32"/>
        </w:rPr>
        <w:t>R</w:t>
      </w:r>
      <w:r w:rsidRPr="002E17DA">
        <w:rPr>
          <w:rFonts w:eastAsia="仿宋_GB2312"/>
          <w:bCs/>
          <w:kern w:val="0"/>
          <w:sz w:val="32"/>
          <w:szCs w:val="32"/>
          <w:vertAlign w:val="subscript"/>
        </w:rPr>
        <w:t>t</w:t>
      </w:r>
      <w:proofErr w:type="spellEnd"/>
      <w:r w:rsidRPr="002E17DA">
        <w:rPr>
          <w:rFonts w:eastAsia="仿宋_GB2312"/>
          <w:bCs/>
          <w:kern w:val="0"/>
          <w:sz w:val="32"/>
          <w:szCs w:val="32"/>
        </w:rPr>
        <w:t>为</w:t>
      </w:r>
      <w:r w:rsidRPr="002E17DA">
        <w:rPr>
          <w:rFonts w:eastAsia="仿宋_GB2312"/>
          <w:bCs/>
          <w:kern w:val="0"/>
          <w:sz w:val="32"/>
          <w:szCs w:val="32"/>
        </w:rPr>
        <w:t>t</w:t>
      </w:r>
      <w:r w:rsidRPr="002E17DA">
        <w:rPr>
          <w:rFonts w:eastAsia="仿宋_GB2312"/>
          <w:bCs/>
          <w:kern w:val="0"/>
          <w:sz w:val="32"/>
          <w:szCs w:val="32"/>
        </w:rPr>
        <w:t>时间点的参比制剂平均溶出量；</w:t>
      </w:r>
    </w:p>
    <w:p w:rsidR="00052878" w:rsidRPr="002E17DA" w:rsidRDefault="00052878" w:rsidP="00052878">
      <w:pPr>
        <w:widowControl/>
        <w:adjustRightInd w:val="0"/>
        <w:snapToGrid w:val="0"/>
        <w:spacing w:line="360" w:lineRule="auto"/>
        <w:ind w:firstLineChars="200" w:firstLine="640"/>
        <w:rPr>
          <w:rFonts w:eastAsia="仿宋_GB2312"/>
          <w:bCs/>
          <w:kern w:val="0"/>
          <w:sz w:val="32"/>
          <w:szCs w:val="32"/>
        </w:rPr>
      </w:pPr>
      <w:proofErr w:type="spellStart"/>
      <w:r w:rsidRPr="002E17DA">
        <w:rPr>
          <w:rFonts w:eastAsia="仿宋_GB2312"/>
          <w:bCs/>
          <w:kern w:val="0"/>
          <w:sz w:val="32"/>
          <w:szCs w:val="32"/>
        </w:rPr>
        <w:t>T</w:t>
      </w:r>
      <w:r w:rsidRPr="002E17DA">
        <w:rPr>
          <w:rFonts w:eastAsia="仿宋_GB2312"/>
          <w:bCs/>
          <w:kern w:val="0"/>
          <w:sz w:val="32"/>
          <w:szCs w:val="32"/>
          <w:vertAlign w:val="subscript"/>
        </w:rPr>
        <w:t>t</w:t>
      </w:r>
      <w:proofErr w:type="spellEnd"/>
      <w:r w:rsidRPr="002E17DA">
        <w:rPr>
          <w:rFonts w:eastAsia="仿宋_GB2312"/>
          <w:bCs/>
          <w:kern w:val="0"/>
          <w:sz w:val="32"/>
          <w:szCs w:val="32"/>
        </w:rPr>
        <w:t>为</w:t>
      </w:r>
      <w:r w:rsidRPr="002E17DA">
        <w:rPr>
          <w:rFonts w:eastAsia="仿宋_GB2312"/>
          <w:bCs/>
          <w:kern w:val="0"/>
          <w:sz w:val="32"/>
          <w:szCs w:val="32"/>
        </w:rPr>
        <w:t>t</w:t>
      </w:r>
      <w:r w:rsidRPr="002E17DA">
        <w:rPr>
          <w:rFonts w:eastAsia="仿宋_GB2312"/>
          <w:bCs/>
          <w:kern w:val="0"/>
          <w:sz w:val="32"/>
          <w:szCs w:val="32"/>
        </w:rPr>
        <w:t>时间点的仿制制剂平均溶出量；</w:t>
      </w:r>
    </w:p>
    <w:p w:rsidR="00052878" w:rsidRPr="002E17DA" w:rsidRDefault="00052878" w:rsidP="00052878">
      <w:pPr>
        <w:widowControl/>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n</w:t>
      </w:r>
      <w:r w:rsidRPr="002E17DA">
        <w:rPr>
          <w:rFonts w:eastAsia="仿宋_GB2312"/>
          <w:bCs/>
          <w:kern w:val="0"/>
          <w:sz w:val="32"/>
          <w:szCs w:val="32"/>
        </w:rPr>
        <w:t>为取样时间点的个数。</w:t>
      </w:r>
    </w:p>
    <w:p w:rsidR="00052878" w:rsidRDefault="00052878" w:rsidP="00052878">
      <w:pPr>
        <w:widowControl/>
        <w:adjustRightInd w:val="0"/>
        <w:snapToGrid w:val="0"/>
        <w:spacing w:line="360" w:lineRule="auto"/>
        <w:ind w:firstLineChars="200" w:firstLine="640"/>
        <w:rPr>
          <w:rFonts w:eastAsia="仿宋_GB2312"/>
          <w:bCs/>
          <w:kern w:val="0"/>
          <w:sz w:val="32"/>
          <w:szCs w:val="32"/>
        </w:rPr>
      </w:pPr>
      <w:r w:rsidRPr="002E17DA">
        <w:rPr>
          <w:rFonts w:eastAsia="仿宋_GB2312"/>
          <w:bCs/>
          <w:kern w:val="0"/>
          <w:sz w:val="32"/>
          <w:szCs w:val="32"/>
        </w:rPr>
        <w:t>当</w:t>
      </w:r>
      <w:r w:rsidRPr="002E17DA">
        <w:rPr>
          <w:rFonts w:eastAsia="仿宋_GB2312"/>
          <w:bCs/>
          <w:kern w:val="0"/>
          <w:sz w:val="32"/>
          <w:szCs w:val="32"/>
        </w:rPr>
        <w:t>f</w:t>
      </w:r>
      <w:r w:rsidRPr="002E17DA">
        <w:rPr>
          <w:rFonts w:eastAsia="仿宋_GB2312"/>
          <w:bCs/>
          <w:kern w:val="0"/>
          <w:sz w:val="32"/>
          <w:szCs w:val="32"/>
          <w:vertAlign w:val="subscript"/>
        </w:rPr>
        <w:t>2</w:t>
      </w:r>
      <w:r w:rsidRPr="002E17DA">
        <w:rPr>
          <w:rFonts w:eastAsia="仿宋_GB2312"/>
          <w:bCs/>
          <w:kern w:val="0"/>
          <w:sz w:val="32"/>
          <w:szCs w:val="32"/>
        </w:rPr>
        <w:t>值</w:t>
      </w:r>
      <w:r w:rsidRPr="002E17DA">
        <w:rPr>
          <w:rFonts w:eastAsia="仿宋_GB2312"/>
          <w:bCs/>
          <w:kern w:val="0"/>
          <w:sz w:val="32"/>
          <w:szCs w:val="32"/>
        </w:rPr>
        <w:t>≥50</w:t>
      </w:r>
      <w:r w:rsidRPr="002E17DA">
        <w:rPr>
          <w:rFonts w:eastAsia="仿宋_GB2312"/>
          <w:bCs/>
          <w:kern w:val="0"/>
          <w:sz w:val="32"/>
          <w:szCs w:val="32"/>
        </w:rPr>
        <w:t>时，认为两个物质有相似的溶出特性。为了可以使用平均值，则变异系数（</w:t>
      </w:r>
      <w:r w:rsidRPr="002E17DA">
        <w:rPr>
          <w:rFonts w:eastAsia="仿宋_GB2312"/>
          <w:bCs/>
          <w:kern w:val="0"/>
          <w:sz w:val="32"/>
          <w:szCs w:val="32"/>
        </w:rPr>
        <w:t>RSD</w:t>
      </w:r>
      <w:r w:rsidRPr="002E17DA">
        <w:rPr>
          <w:rFonts w:eastAsia="仿宋_GB2312"/>
          <w:bCs/>
          <w:kern w:val="0"/>
          <w:sz w:val="32"/>
          <w:szCs w:val="32"/>
        </w:rPr>
        <w:t>）在第一个时间点时不应超过</w:t>
      </w:r>
      <w:r w:rsidRPr="002E17DA">
        <w:rPr>
          <w:rFonts w:eastAsia="仿宋_GB2312"/>
          <w:bCs/>
          <w:kern w:val="0"/>
          <w:sz w:val="32"/>
          <w:szCs w:val="32"/>
        </w:rPr>
        <w:t>20%</w:t>
      </w:r>
      <w:r w:rsidRPr="002E17DA">
        <w:rPr>
          <w:rFonts w:eastAsia="仿宋_GB2312"/>
          <w:bCs/>
          <w:kern w:val="0"/>
          <w:sz w:val="32"/>
          <w:szCs w:val="32"/>
        </w:rPr>
        <w:t>，在其他时间点不应超过</w:t>
      </w:r>
      <w:r w:rsidRPr="002E17DA">
        <w:rPr>
          <w:rFonts w:eastAsia="仿宋_GB2312"/>
          <w:bCs/>
          <w:kern w:val="0"/>
          <w:sz w:val="32"/>
          <w:szCs w:val="32"/>
        </w:rPr>
        <w:t>10%</w:t>
      </w:r>
      <w:r w:rsidRPr="002E17DA">
        <w:rPr>
          <w:rFonts w:eastAsia="仿宋_GB2312"/>
          <w:bCs/>
          <w:kern w:val="0"/>
          <w:sz w:val="32"/>
          <w:szCs w:val="32"/>
        </w:rPr>
        <w:t>。应注意当使用上述溶出介质时，若仿制制剂和</w:t>
      </w:r>
      <w:proofErr w:type="gramStart"/>
      <w:r w:rsidRPr="002E17DA">
        <w:rPr>
          <w:rFonts w:eastAsia="仿宋_GB2312"/>
          <w:bCs/>
          <w:kern w:val="0"/>
          <w:sz w:val="32"/>
          <w:szCs w:val="32"/>
        </w:rPr>
        <w:t>参比</w:t>
      </w:r>
      <w:proofErr w:type="gramEnd"/>
      <w:r w:rsidRPr="002E17DA">
        <w:rPr>
          <w:rFonts w:eastAsia="仿宋_GB2312"/>
          <w:bCs/>
          <w:kern w:val="0"/>
          <w:sz w:val="32"/>
          <w:szCs w:val="32"/>
        </w:rPr>
        <w:t>制剂均能在</w:t>
      </w:r>
      <w:r w:rsidRPr="002E17DA">
        <w:rPr>
          <w:rFonts w:eastAsia="仿宋_GB2312"/>
          <w:bCs/>
          <w:kern w:val="0"/>
          <w:sz w:val="32"/>
          <w:szCs w:val="32"/>
        </w:rPr>
        <w:t>15</w:t>
      </w:r>
      <w:r w:rsidRPr="002E17DA">
        <w:rPr>
          <w:rFonts w:eastAsia="仿宋_GB2312"/>
          <w:bCs/>
          <w:kern w:val="0"/>
          <w:sz w:val="32"/>
          <w:szCs w:val="32"/>
        </w:rPr>
        <w:t>分钟内溶</w:t>
      </w:r>
      <w:r w:rsidRPr="002E17DA">
        <w:rPr>
          <w:rFonts w:eastAsia="仿宋_GB2312"/>
          <w:bCs/>
          <w:kern w:val="0"/>
          <w:sz w:val="32"/>
          <w:szCs w:val="32"/>
        </w:rPr>
        <w:lastRenderedPageBreak/>
        <w:t>出标示量的</w:t>
      </w:r>
      <w:r w:rsidRPr="002E17DA">
        <w:rPr>
          <w:rFonts w:eastAsia="仿宋_GB2312"/>
          <w:bCs/>
          <w:kern w:val="0"/>
          <w:sz w:val="32"/>
          <w:szCs w:val="32"/>
        </w:rPr>
        <w:t>85%</w:t>
      </w:r>
      <w:r w:rsidRPr="002E17DA">
        <w:rPr>
          <w:rFonts w:eastAsia="仿宋_GB2312"/>
          <w:bCs/>
          <w:kern w:val="0"/>
          <w:sz w:val="32"/>
          <w:szCs w:val="32"/>
        </w:rPr>
        <w:t>及以上，则不必再利用</w:t>
      </w:r>
      <w:r w:rsidRPr="002E17DA">
        <w:rPr>
          <w:rFonts w:eastAsia="仿宋_GB2312"/>
          <w:bCs/>
          <w:kern w:val="0"/>
          <w:sz w:val="32"/>
          <w:szCs w:val="32"/>
        </w:rPr>
        <w:t>f</w:t>
      </w:r>
      <w:r w:rsidRPr="002E17DA">
        <w:rPr>
          <w:rFonts w:eastAsia="仿宋_GB2312"/>
          <w:bCs/>
          <w:kern w:val="0"/>
          <w:sz w:val="32"/>
          <w:szCs w:val="32"/>
          <w:vertAlign w:val="subscript"/>
        </w:rPr>
        <w:t>2</w:t>
      </w:r>
      <w:r w:rsidRPr="002E17DA">
        <w:rPr>
          <w:rFonts w:eastAsia="仿宋_GB2312"/>
          <w:bCs/>
          <w:kern w:val="0"/>
          <w:sz w:val="32"/>
          <w:szCs w:val="32"/>
        </w:rPr>
        <w:t>法比较其相似性，可认为溶出曲线相似。</w:t>
      </w:r>
    </w:p>
    <w:p w:rsidR="00052878" w:rsidRDefault="00052878" w:rsidP="00052878">
      <w:pPr>
        <w:pStyle w:val="1"/>
        <w:adjustRightInd w:val="0"/>
        <w:snapToGrid w:val="0"/>
        <w:spacing w:line="360" w:lineRule="auto"/>
        <w:ind w:firstLineChars="0" w:firstLine="0"/>
        <w:jc w:val="left"/>
        <w:rPr>
          <w:rFonts w:ascii="黑体" w:eastAsia="黑体" w:hAnsi="黑体" w:cs="仿宋_GB2312"/>
          <w:kern w:val="0"/>
          <w:sz w:val="32"/>
          <w:szCs w:val="32"/>
        </w:rPr>
      </w:pPr>
    </w:p>
    <w:p w:rsidR="00052878" w:rsidRDefault="00052878" w:rsidP="00052878">
      <w:pPr>
        <w:pStyle w:val="1"/>
        <w:adjustRightInd w:val="0"/>
        <w:snapToGrid w:val="0"/>
        <w:spacing w:line="360" w:lineRule="auto"/>
        <w:ind w:firstLineChars="0" w:firstLine="0"/>
        <w:jc w:val="left"/>
        <w:rPr>
          <w:rFonts w:ascii="黑体" w:eastAsia="黑体" w:hAnsi="黑体" w:cs="仿宋_GB2312"/>
          <w:kern w:val="0"/>
          <w:sz w:val="32"/>
          <w:szCs w:val="32"/>
        </w:rPr>
      </w:pPr>
    </w:p>
    <w:p w:rsidR="00052878" w:rsidRDefault="00052878" w:rsidP="00052878">
      <w:pPr>
        <w:pStyle w:val="1"/>
        <w:adjustRightInd w:val="0"/>
        <w:snapToGrid w:val="0"/>
        <w:spacing w:line="360" w:lineRule="auto"/>
        <w:ind w:firstLineChars="0" w:firstLine="0"/>
        <w:jc w:val="left"/>
        <w:rPr>
          <w:rFonts w:ascii="黑体" w:eastAsia="黑体" w:hAnsi="黑体" w:cs="仿宋_GB2312"/>
          <w:kern w:val="0"/>
          <w:sz w:val="32"/>
          <w:szCs w:val="32"/>
        </w:rPr>
      </w:pPr>
    </w:p>
    <w:p w:rsidR="00052878" w:rsidRDefault="00052878" w:rsidP="00052878">
      <w:pPr>
        <w:pStyle w:val="1"/>
        <w:adjustRightInd w:val="0"/>
        <w:snapToGrid w:val="0"/>
        <w:spacing w:line="360" w:lineRule="auto"/>
        <w:ind w:firstLineChars="0" w:firstLine="0"/>
        <w:jc w:val="left"/>
        <w:rPr>
          <w:rFonts w:ascii="黑体" w:eastAsia="黑体" w:hAnsi="黑体" w:cs="仿宋_GB2312"/>
          <w:kern w:val="0"/>
          <w:sz w:val="32"/>
          <w:szCs w:val="32"/>
        </w:rPr>
      </w:pPr>
      <w:r>
        <w:rPr>
          <w:rFonts w:ascii="黑体" w:eastAsia="黑体" w:hAnsi="黑体" w:cs="仿宋_GB2312" w:hint="eastAsia"/>
          <w:kern w:val="0"/>
          <w:sz w:val="32"/>
          <w:szCs w:val="32"/>
        </w:rPr>
        <w:t>附录</w:t>
      </w:r>
      <w:r>
        <w:rPr>
          <w:rFonts w:ascii="黑体" w:eastAsia="黑体" w:hAnsi="黑体" w:cs="仿宋_GB2312"/>
          <w:kern w:val="0"/>
          <w:sz w:val="32"/>
          <w:szCs w:val="32"/>
        </w:rPr>
        <w:t>A</w:t>
      </w:r>
    </w:p>
    <w:p w:rsidR="00052878" w:rsidRPr="002E17DA" w:rsidRDefault="00052878" w:rsidP="00052878">
      <w:pPr>
        <w:pStyle w:val="1"/>
        <w:adjustRightInd w:val="0"/>
        <w:snapToGrid w:val="0"/>
        <w:spacing w:beforeLines="50" w:before="156" w:afterLines="50" w:after="156" w:line="360" w:lineRule="auto"/>
        <w:ind w:firstLineChars="131" w:firstLine="419"/>
        <w:rPr>
          <w:rFonts w:ascii="Times New Roman" w:eastAsia="仿宋_GB2312" w:hAnsi="Times New Roman"/>
          <w:bCs/>
          <w:kern w:val="0"/>
          <w:sz w:val="32"/>
          <w:szCs w:val="32"/>
        </w:rPr>
      </w:pPr>
      <w:r w:rsidRPr="002E17DA">
        <w:rPr>
          <w:rFonts w:ascii="Times New Roman" w:eastAsia="仿宋_GB2312" w:hAnsi="Times New Roman"/>
          <w:bCs/>
          <w:kern w:val="0"/>
          <w:sz w:val="32"/>
          <w:szCs w:val="32"/>
        </w:rPr>
        <w:t>本附录包括用于说明渗透性试验适用性的推荐药物。</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6652"/>
      </w:tblGrid>
      <w:tr w:rsidR="00052878" w:rsidTr="0072505F">
        <w:trPr>
          <w:trHeight w:val="530"/>
        </w:trPr>
        <w:tc>
          <w:tcPr>
            <w:tcW w:w="2636" w:type="dxa"/>
            <w:vAlign w:val="center"/>
          </w:tcPr>
          <w:p w:rsidR="00052878" w:rsidRDefault="00052878" w:rsidP="0072505F">
            <w:pPr>
              <w:pStyle w:val="1"/>
              <w:adjustRightInd w:val="0"/>
              <w:snapToGrid w:val="0"/>
              <w:spacing w:line="360" w:lineRule="auto"/>
              <w:ind w:firstLineChars="0" w:firstLine="0"/>
              <w:jc w:val="center"/>
              <w:rPr>
                <w:rFonts w:ascii="仿宋_GB2312" w:eastAsia="仿宋_GB2312" w:hAnsi="仿宋_GB2312" w:cs="仿宋_GB2312"/>
                <w:b/>
                <w:bCs/>
                <w:kern w:val="0"/>
                <w:sz w:val="20"/>
                <w:szCs w:val="20"/>
              </w:rPr>
            </w:pPr>
            <w:r>
              <w:rPr>
                <w:rFonts w:ascii="仿宋_GB2312" w:eastAsia="仿宋_GB2312" w:hAnsi="仿宋_GB2312" w:cs="仿宋_GB2312" w:hint="eastAsia"/>
                <w:b/>
                <w:bCs/>
                <w:kern w:val="0"/>
                <w:sz w:val="32"/>
                <w:szCs w:val="32"/>
              </w:rPr>
              <w:t>渗透性类别</w:t>
            </w:r>
          </w:p>
        </w:tc>
        <w:tc>
          <w:tcPr>
            <w:tcW w:w="6652" w:type="dxa"/>
            <w:vAlign w:val="center"/>
          </w:tcPr>
          <w:p w:rsidR="00052878" w:rsidRDefault="00052878" w:rsidP="0072505F">
            <w:pPr>
              <w:pStyle w:val="1"/>
              <w:adjustRightInd w:val="0"/>
              <w:snapToGrid w:val="0"/>
              <w:spacing w:line="360" w:lineRule="auto"/>
              <w:ind w:firstLineChars="0" w:firstLine="0"/>
              <w:jc w:val="center"/>
              <w:rPr>
                <w:rFonts w:ascii="仿宋_GB2312" w:eastAsia="仿宋_GB2312" w:hAnsi="仿宋_GB2312" w:cs="仿宋_GB2312"/>
                <w:b/>
                <w:bCs/>
                <w:kern w:val="0"/>
                <w:sz w:val="20"/>
                <w:szCs w:val="20"/>
              </w:rPr>
            </w:pPr>
            <w:r>
              <w:rPr>
                <w:rFonts w:ascii="仿宋_GB2312" w:eastAsia="仿宋_GB2312" w:hAnsi="仿宋_GB2312" w:cs="仿宋_GB2312" w:hint="eastAsia"/>
                <w:b/>
                <w:bCs/>
                <w:kern w:val="0"/>
                <w:sz w:val="32"/>
                <w:szCs w:val="32"/>
              </w:rPr>
              <w:t>药物</w:t>
            </w:r>
          </w:p>
        </w:tc>
      </w:tr>
      <w:tr w:rsidR="00052878" w:rsidTr="0072505F">
        <w:tc>
          <w:tcPr>
            <w:tcW w:w="2636"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高渗透性</w:t>
            </w:r>
          </w:p>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bookmarkStart w:id="1" w:name="OLE_LINK4"/>
            <w:bookmarkStart w:id="2" w:name="OLE_LINK3"/>
            <w:r>
              <w:rPr>
                <w:rFonts w:ascii="仿宋_GB2312" w:eastAsia="仿宋_GB2312" w:hAnsi="仿宋_GB2312" w:cs="仿宋_GB2312" w:hint="eastAsia"/>
                <w:bCs/>
                <w:kern w:val="0"/>
                <w:sz w:val="30"/>
                <w:szCs w:val="30"/>
              </w:rPr>
              <w:t>（</w:t>
            </w:r>
            <w:proofErr w:type="spellStart"/>
            <w:r>
              <w:rPr>
                <w:rFonts w:ascii="仿宋_GB2312" w:eastAsia="仿宋_GB2312" w:hAnsi="仿宋_GB2312" w:cs="仿宋_GB2312"/>
                <w:bCs/>
                <w:kern w:val="0"/>
                <w:sz w:val="30"/>
                <w:szCs w:val="30"/>
              </w:rPr>
              <w:t>fa</w:t>
            </w:r>
            <w:proofErr w:type="spellEnd"/>
            <w:r>
              <w:rPr>
                <w:rFonts w:ascii="仿宋_GB2312" w:eastAsia="仿宋_GB2312" w:hAnsi="仿宋_GB2312" w:cs="仿宋_GB2312" w:hint="eastAsia"/>
                <w:bCs/>
                <w:kern w:val="0"/>
                <w:sz w:val="30"/>
                <w:szCs w:val="30"/>
              </w:rPr>
              <w:t>≥</w:t>
            </w:r>
            <w:r>
              <w:rPr>
                <w:rFonts w:ascii="仿宋_GB2312" w:eastAsia="仿宋_GB2312" w:hAnsi="仿宋_GB2312" w:cs="仿宋_GB2312"/>
                <w:bCs/>
                <w:kern w:val="0"/>
                <w:sz w:val="30"/>
                <w:szCs w:val="30"/>
              </w:rPr>
              <w:t>85%</w:t>
            </w:r>
            <w:r>
              <w:rPr>
                <w:rFonts w:ascii="仿宋_GB2312" w:eastAsia="仿宋_GB2312" w:hAnsi="仿宋_GB2312" w:cs="仿宋_GB2312" w:hint="eastAsia"/>
                <w:bCs/>
                <w:kern w:val="0"/>
                <w:sz w:val="30"/>
                <w:szCs w:val="30"/>
              </w:rPr>
              <w:t>）</w:t>
            </w:r>
          </w:p>
          <w:bookmarkEnd w:id="1"/>
          <w:bookmarkEnd w:id="2"/>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p>
        </w:tc>
        <w:tc>
          <w:tcPr>
            <w:tcW w:w="6652"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安替比林、咖啡因、酮</w:t>
            </w:r>
            <w:proofErr w:type="gramStart"/>
            <w:r>
              <w:rPr>
                <w:rFonts w:ascii="仿宋_GB2312" w:eastAsia="仿宋_GB2312" w:hAnsi="仿宋_GB2312" w:cs="仿宋_GB2312" w:hint="eastAsia"/>
                <w:bCs/>
                <w:kern w:val="0"/>
                <w:sz w:val="30"/>
                <w:szCs w:val="30"/>
              </w:rPr>
              <w:t>洛</w:t>
            </w:r>
            <w:proofErr w:type="gramEnd"/>
            <w:r>
              <w:rPr>
                <w:rFonts w:ascii="仿宋_GB2312" w:eastAsia="仿宋_GB2312" w:hAnsi="仿宋_GB2312" w:cs="仿宋_GB2312" w:hint="eastAsia"/>
                <w:bCs/>
                <w:kern w:val="0"/>
                <w:sz w:val="30"/>
                <w:szCs w:val="30"/>
              </w:rPr>
              <w:t>芬、甲氧</w:t>
            </w:r>
            <w:proofErr w:type="gramStart"/>
            <w:r>
              <w:rPr>
                <w:rFonts w:ascii="仿宋_GB2312" w:eastAsia="仿宋_GB2312" w:hAnsi="仿宋_GB2312" w:cs="仿宋_GB2312" w:hint="eastAsia"/>
                <w:bCs/>
                <w:kern w:val="0"/>
                <w:sz w:val="30"/>
                <w:szCs w:val="30"/>
              </w:rPr>
              <w:t>萘</w:t>
            </w:r>
            <w:proofErr w:type="gramEnd"/>
            <w:r>
              <w:rPr>
                <w:rFonts w:ascii="仿宋_GB2312" w:eastAsia="仿宋_GB2312" w:hAnsi="仿宋_GB2312" w:cs="仿宋_GB2312" w:hint="eastAsia"/>
                <w:bCs/>
                <w:kern w:val="0"/>
                <w:sz w:val="30"/>
                <w:szCs w:val="30"/>
              </w:rPr>
              <w:t>丙酸、茶碱、美托洛尔、普</w:t>
            </w:r>
            <w:proofErr w:type="gramStart"/>
            <w:r>
              <w:rPr>
                <w:rFonts w:ascii="仿宋_GB2312" w:eastAsia="仿宋_GB2312" w:hAnsi="仿宋_GB2312" w:cs="仿宋_GB2312" w:hint="eastAsia"/>
                <w:bCs/>
                <w:kern w:val="0"/>
                <w:sz w:val="30"/>
                <w:szCs w:val="30"/>
              </w:rPr>
              <w:t>萘洛</w:t>
            </w:r>
            <w:proofErr w:type="gramEnd"/>
            <w:r>
              <w:rPr>
                <w:rFonts w:ascii="仿宋_GB2312" w:eastAsia="仿宋_GB2312" w:hAnsi="仿宋_GB2312" w:cs="仿宋_GB2312" w:hint="eastAsia"/>
                <w:bCs/>
                <w:kern w:val="0"/>
                <w:sz w:val="30"/>
                <w:szCs w:val="30"/>
              </w:rPr>
              <w:t>尔、卡马西平、苯妥英、丙</w:t>
            </w:r>
            <w:proofErr w:type="gramStart"/>
            <w:r>
              <w:rPr>
                <w:rFonts w:ascii="仿宋_GB2312" w:eastAsia="仿宋_GB2312" w:hAnsi="仿宋_GB2312" w:cs="仿宋_GB2312" w:hint="eastAsia"/>
                <w:bCs/>
                <w:kern w:val="0"/>
                <w:sz w:val="30"/>
                <w:szCs w:val="30"/>
              </w:rPr>
              <w:t>吡</w:t>
            </w:r>
            <w:proofErr w:type="gramEnd"/>
            <w:r>
              <w:rPr>
                <w:rFonts w:ascii="仿宋_GB2312" w:eastAsia="仿宋_GB2312" w:hAnsi="仿宋_GB2312" w:cs="仿宋_GB2312" w:hint="eastAsia"/>
                <w:bCs/>
                <w:kern w:val="0"/>
                <w:sz w:val="30"/>
                <w:szCs w:val="30"/>
              </w:rPr>
              <w:t>胺、</w:t>
            </w:r>
            <w:r>
              <w:fldChar w:fldCharType="begin"/>
            </w:r>
            <w:r>
              <w:instrText xml:space="preserve"> HYPERLINK "http://www.baidu.com/link?url=Rvu_WQKGb7X5bgtRQ7UCwpK2jGvlI2SF_7i8Q3MS8RlMd_K1NrpLCrpVtTLPRlx3dU0TwL25DRI__JMegTnHda" \t "_blank" </w:instrText>
            </w:r>
            <w:r>
              <w:fldChar w:fldCharType="separate"/>
            </w:r>
            <w:proofErr w:type="gramStart"/>
            <w:r>
              <w:rPr>
                <w:rFonts w:ascii="仿宋_GB2312" w:eastAsia="仿宋_GB2312" w:hAnsi="仿宋_GB2312" w:cs="仿宋_GB2312" w:hint="eastAsia"/>
                <w:bCs/>
                <w:kern w:val="0"/>
                <w:sz w:val="30"/>
                <w:szCs w:val="30"/>
              </w:rPr>
              <w:t>米诺地尔</w:t>
            </w:r>
            <w:proofErr w:type="gramEnd"/>
            <w:r>
              <w:rPr>
                <w:rFonts w:ascii="仿宋_GB2312" w:eastAsia="仿宋_GB2312" w:hAnsi="仿宋_GB2312" w:cs="仿宋_GB2312"/>
                <w:bCs/>
                <w:kern w:val="0"/>
                <w:sz w:val="30"/>
                <w:szCs w:val="30"/>
              </w:rPr>
              <w:fldChar w:fldCharType="end"/>
            </w:r>
          </w:p>
        </w:tc>
      </w:tr>
      <w:tr w:rsidR="00052878" w:rsidTr="0072505F">
        <w:tc>
          <w:tcPr>
            <w:tcW w:w="2636"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中渗透性</w:t>
            </w:r>
          </w:p>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w:t>
            </w:r>
            <w:proofErr w:type="spellStart"/>
            <w:r>
              <w:rPr>
                <w:rFonts w:ascii="仿宋_GB2312" w:eastAsia="仿宋_GB2312" w:hAnsi="仿宋_GB2312" w:cs="仿宋_GB2312"/>
                <w:bCs/>
                <w:kern w:val="0"/>
                <w:sz w:val="30"/>
                <w:szCs w:val="30"/>
              </w:rPr>
              <w:t>fa</w:t>
            </w:r>
            <w:proofErr w:type="spellEnd"/>
            <w:r>
              <w:rPr>
                <w:rFonts w:ascii="仿宋_GB2312" w:eastAsia="仿宋_GB2312" w:hAnsi="仿宋_GB2312" w:cs="仿宋_GB2312"/>
                <w:bCs/>
                <w:kern w:val="0"/>
                <w:sz w:val="30"/>
                <w:szCs w:val="30"/>
              </w:rPr>
              <w:t>=50%—84%</w:t>
            </w:r>
            <w:r>
              <w:rPr>
                <w:rFonts w:ascii="仿宋_GB2312" w:eastAsia="仿宋_GB2312" w:hAnsi="仿宋_GB2312" w:cs="仿宋_GB2312" w:hint="eastAsia"/>
                <w:bCs/>
                <w:kern w:val="0"/>
                <w:sz w:val="30"/>
                <w:szCs w:val="30"/>
              </w:rPr>
              <w:t>）</w:t>
            </w:r>
          </w:p>
        </w:tc>
        <w:tc>
          <w:tcPr>
            <w:tcW w:w="6652"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proofErr w:type="gramStart"/>
            <w:r>
              <w:rPr>
                <w:rFonts w:ascii="仿宋_GB2312" w:eastAsia="仿宋_GB2312" w:hAnsi="仿宋_GB2312" w:cs="仿宋_GB2312" w:hint="eastAsia"/>
                <w:bCs/>
                <w:kern w:val="0"/>
                <w:sz w:val="30"/>
                <w:szCs w:val="30"/>
              </w:rPr>
              <w:t>氯非那</w:t>
            </w:r>
            <w:proofErr w:type="gramEnd"/>
            <w:r>
              <w:rPr>
                <w:rFonts w:ascii="仿宋_GB2312" w:eastAsia="仿宋_GB2312" w:hAnsi="仿宋_GB2312" w:cs="仿宋_GB2312" w:hint="eastAsia"/>
                <w:bCs/>
                <w:kern w:val="0"/>
                <w:sz w:val="30"/>
                <w:szCs w:val="30"/>
              </w:rPr>
              <w:t>敏、肌</w:t>
            </w:r>
            <w:proofErr w:type="gramStart"/>
            <w:r>
              <w:rPr>
                <w:rFonts w:ascii="仿宋_GB2312" w:eastAsia="仿宋_GB2312" w:hAnsi="仿宋_GB2312" w:cs="仿宋_GB2312" w:hint="eastAsia"/>
                <w:bCs/>
                <w:kern w:val="0"/>
                <w:sz w:val="30"/>
                <w:szCs w:val="30"/>
              </w:rPr>
              <w:t>酐</w:t>
            </w:r>
            <w:proofErr w:type="gramEnd"/>
            <w:r>
              <w:rPr>
                <w:rFonts w:ascii="仿宋_GB2312" w:eastAsia="仿宋_GB2312" w:hAnsi="仿宋_GB2312" w:cs="仿宋_GB2312" w:hint="eastAsia"/>
                <w:bCs/>
                <w:kern w:val="0"/>
                <w:sz w:val="30"/>
                <w:szCs w:val="30"/>
              </w:rPr>
              <w:t>、</w:t>
            </w:r>
            <w:proofErr w:type="gramStart"/>
            <w:r>
              <w:rPr>
                <w:rFonts w:ascii="仿宋_GB2312" w:eastAsia="仿宋_GB2312" w:hAnsi="仿宋_GB2312" w:cs="仿宋_GB2312" w:hint="eastAsia"/>
                <w:bCs/>
                <w:kern w:val="0"/>
                <w:sz w:val="30"/>
                <w:szCs w:val="30"/>
              </w:rPr>
              <w:t>特</w:t>
            </w:r>
            <w:proofErr w:type="gramEnd"/>
            <w:r>
              <w:rPr>
                <w:rFonts w:ascii="仿宋_GB2312" w:eastAsia="仿宋_GB2312" w:hAnsi="仿宋_GB2312" w:cs="仿宋_GB2312" w:hint="eastAsia"/>
                <w:bCs/>
                <w:kern w:val="0"/>
                <w:sz w:val="30"/>
                <w:szCs w:val="30"/>
              </w:rPr>
              <w:t>布他林、氢氯</w:t>
            </w:r>
            <w:proofErr w:type="gramStart"/>
            <w:r>
              <w:rPr>
                <w:rFonts w:ascii="仿宋_GB2312" w:eastAsia="仿宋_GB2312" w:hAnsi="仿宋_GB2312" w:cs="仿宋_GB2312" w:hint="eastAsia"/>
                <w:bCs/>
                <w:kern w:val="0"/>
                <w:sz w:val="30"/>
                <w:szCs w:val="30"/>
              </w:rPr>
              <w:t>噻嗪</w:t>
            </w:r>
            <w:proofErr w:type="gramEnd"/>
            <w:r>
              <w:rPr>
                <w:rFonts w:ascii="仿宋_GB2312" w:eastAsia="仿宋_GB2312" w:hAnsi="仿宋_GB2312" w:cs="仿宋_GB2312" w:hint="eastAsia"/>
                <w:bCs/>
                <w:kern w:val="0"/>
                <w:sz w:val="30"/>
                <w:szCs w:val="30"/>
              </w:rPr>
              <w:t>、卡托普利、呋喃苯胺酸、二甲双</w:t>
            </w:r>
            <w:proofErr w:type="gramStart"/>
            <w:r>
              <w:rPr>
                <w:rFonts w:ascii="仿宋_GB2312" w:eastAsia="仿宋_GB2312" w:hAnsi="仿宋_GB2312" w:cs="仿宋_GB2312" w:hint="eastAsia"/>
                <w:bCs/>
                <w:kern w:val="0"/>
                <w:sz w:val="30"/>
                <w:szCs w:val="30"/>
              </w:rPr>
              <w:t>胍</w:t>
            </w:r>
            <w:proofErr w:type="gramEnd"/>
            <w:r>
              <w:rPr>
                <w:rFonts w:ascii="仿宋_GB2312" w:eastAsia="仿宋_GB2312" w:hAnsi="仿宋_GB2312" w:cs="仿宋_GB2312" w:hint="eastAsia"/>
                <w:bCs/>
                <w:kern w:val="0"/>
                <w:sz w:val="30"/>
                <w:szCs w:val="30"/>
              </w:rPr>
              <w:t>、阿米洛利、阿替</w:t>
            </w:r>
            <w:proofErr w:type="gramStart"/>
            <w:r>
              <w:rPr>
                <w:rFonts w:ascii="仿宋_GB2312" w:eastAsia="仿宋_GB2312" w:hAnsi="仿宋_GB2312" w:cs="仿宋_GB2312" w:hint="eastAsia"/>
                <w:bCs/>
                <w:kern w:val="0"/>
                <w:sz w:val="30"/>
                <w:szCs w:val="30"/>
              </w:rPr>
              <w:t>洛</w:t>
            </w:r>
            <w:proofErr w:type="gramEnd"/>
            <w:r>
              <w:rPr>
                <w:rFonts w:ascii="仿宋_GB2312" w:eastAsia="仿宋_GB2312" w:hAnsi="仿宋_GB2312" w:cs="仿宋_GB2312" w:hint="eastAsia"/>
                <w:bCs/>
                <w:kern w:val="0"/>
                <w:sz w:val="30"/>
                <w:szCs w:val="30"/>
              </w:rPr>
              <w:t>尔、雷尼替丁</w:t>
            </w:r>
          </w:p>
        </w:tc>
      </w:tr>
      <w:tr w:rsidR="00052878" w:rsidTr="0072505F">
        <w:tc>
          <w:tcPr>
            <w:tcW w:w="2636"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低渗透性</w:t>
            </w:r>
          </w:p>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w:t>
            </w:r>
            <w:proofErr w:type="spellStart"/>
            <w:r>
              <w:rPr>
                <w:rFonts w:ascii="仿宋_GB2312" w:eastAsia="仿宋_GB2312" w:hAnsi="仿宋_GB2312" w:cs="仿宋_GB2312"/>
                <w:bCs/>
                <w:kern w:val="0"/>
                <w:sz w:val="30"/>
                <w:szCs w:val="30"/>
              </w:rPr>
              <w:t>fa</w:t>
            </w:r>
            <w:proofErr w:type="spellEnd"/>
            <w:r>
              <w:rPr>
                <w:rFonts w:ascii="仿宋" w:eastAsia="仿宋" w:hAnsi="仿宋" w:cs="仿宋_GB2312"/>
                <w:bCs/>
                <w:kern w:val="0"/>
                <w:sz w:val="30"/>
                <w:szCs w:val="30"/>
              </w:rPr>
              <w:t>&lt;</w:t>
            </w:r>
            <w:r>
              <w:rPr>
                <w:rFonts w:ascii="仿宋_GB2312" w:eastAsia="仿宋_GB2312" w:hAnsi="仿宋_GB2312" w:cs="仿宋_GB2312"/>
                <w:bCs/>
                <w:kern w:val="0"/>
                <w:sz w:val="30"/>
                <w:szCs w:val="30"/>
              </w:rPr>
              <w:t>50%</w:t>
            </w:r>
            <w:r>
              <w:rPr>
                <w:rFonts w:ascii="仿宋_GB2312" w:eastAsia="仿宋_GB2312" w:hAnsi="仿宋_GB2312" w:cs="仿宋_GB2312" w:hint="eastAsia"/>
                <w:bCs/>
                <w:kern w:val="0"/>
                <w:sz w:val="30"/>
                <w:szCs w:val="30"/>
              </w:rPr>
              <w:t>）</w:t>
            </w:r>
          </w:p>
        </w:tc>
        <w:tc>
          <w:tcPr>
            <w:tcW w:w="6652"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法莫替丁、纳多洛尔、舒必利、赖诺普利、无环鸟苷、磷甲酸、甘露醇、氯</w:t>
            </w:r>
            <w:proofErr w:type="gramStart"/>
            <w:r>
              <w:rPr>
                <w:rFonts w:ascii="仿宋_GB2312" w:eastAsia="仿宋_GB2312" w:hAnsi="仿宋_GB2312" w:cs="仿宋_GB2312" w:hint="eastAsia"/>
                <w:bCs/>
                <w:kern w:val="0"/>
                <w:sz w:val="30"/>
                <w:szCs w:val="30"/>
              </w:rPr>
              <w:t>噻嗪</w:t>
            </w:r>
            <w:proofErr w:type="gramEnd"/>
            <w:r>
              <w:rPr>
                <w:rFonts w:ascii="仿宋_GB2312" w:eastAsia="仿宋_GB2312" w:hAnsi="仿宋_GB2312" w:cs="仿宋_GB2312" w:hint="eastAsia"/>
                <w:bCs/>
                <w:kern w:val="0"/>
                <w:sz w:val="30"/>
                <w:szCs w:val="30"/>
              </w:rPr>
              <w:t>、聚乙二醇</w:t>
            </w:r>
            <w:r>
              <w:rPr>
                <w:rFonts w:ascii="仿宋_GB2312" w:eastAsia="仿宋_GB2312" w:hAnsi="仿宋_GB2312" w:cs="仿宋_GB2312"/>
                <w:bCs/>
                <w:kern w:val="0"/>
                <w:sz w:val="30"/>
                <w:szCs w:val="30"/>
              </w:rPr>
              <w:t>400</w:t>
            </w:r>
            <w:r>
              <w:rPr>
                <w:rFonts w:ascii="仿宋_GB2312" w:eastAsia="仿宋_GB2312" w:hAnsi="仿宋_GB2312" w:cs="仿宋_GB2312" w:hint="eastAsia"/>
                <w:bCs/>
                <w:kern w:val="0"/>
                <w:sz w:val="30"/>
                <w:szCs w:val="30"/>
              </w:rPr>
              <w:t>、依那普利</w:t>
            </w:r>
          </w:p>
        </w:tc>
      </w:tr>
      <w:tr w:rsidR="00052878" w:rsidTr="0072505F">
        <w:tc>
          <w:tcPr>
            <w:tcW w:w="2636"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零渗透性</w:t>
            </w:r>
          </w:p>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p>
        </w:tc>
        <w:tc>
          <w:tcPr>
            <w:tcW w:w="6652"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kern w:val="0"/>
                <w:sz w:val="30"/>
                <w:szCs w:val="30"/>
              </w:rPr>
            </w:pPr>
            <w:r>
              <w:rPr>
                <w:rFonts w:ascii="仿宋_GB2312" w:eastAsia="仿宋_GB2312" w:hAnsi="仿宋_GB2312" w:cs="仿宋_GB2312"/>
                <w:bCs/>
                <w:kern w:val="0"/>
                <w:sz w:val="30"/>
                <w:szCs w:val="30"/>
              </w:rPr>
              <w:t>FITC</w:t>
            </w:r>
            <w:hyperlink r:id="rId9" w:tgtFrame="_blank" w:history="1">
              <w:r>
                <w:rPr>
                  <w:rFonts w:ascii="仿宋_GB2312" w:eastAsia="仿宋_GB2312" w:hAnsi="仿宋_GB2312" w:cs="仿宋_GB2312" w:hint="eastAsia"/>
                  <w:kern w:val="0"/>
                  <w:sz w:val="30"/>
                  <w:szCs w:val="30"/>
                </w:rPr>
                <w:t>标记葡聚糖</w:t>
              </w:r>
            </w:hyperlink>
            <w:r>
              <w:rPr>
                <w:rFonts w:ascii="仿宋_GB2312" w:eastAsia="仿宋_GB2312" w:hAnsi="仿宋_GB2312" w:cs="仿宋_GB2312" w:hint="eastAsia"/>
                <w:bCs/>
                <w:kern w:val="0"/>
                <w:sz w:val="30"/>
                <w:szCs w:val="30"/>
              </w:rPr>
              <w:t>、聚乙二醇</w:t>
            </w:r>
            <w:r>
              <w:rPr>
                <w:rFonts w:ascii="仿宋_GB2312" w:eastAsia="仿宋_GB2312" w:hAnsi="仿宋_GB2312" w:cs="仿宋_GB2312"/>
                <w:bCs/>
                <w:kern w:val="0"/>
                <w:sz w:val="30"/>
                <w:szCs w:val="30"/>
              </w:rPr>
              <w:t>4000</w:t>
            </w:r>
            <w:r>
              <w:rPr>
                <w:rFonts w:ascii="仿宋_GB2312" w:eastAsia="仿宋_GB2312" w:hAnsi="仿宋_GB2312" w:cs="仿宋_GB2312" w:hint="eastAsia"/>
                <w:bCs/>
                <w:kern w:val="0"/>
                <w:sz w:val="30"/>
                <w:szCs w:val="30"/>
              </w:rPr>
              <w:t>、荧光黄、菊粉、乳果糖</w:t>
            </w:r>
          </w:p>
        </w:tc>
      </w:tr>
      <w:tr w:rsidR="00052878" w:rsidTr="0072505F">
        <w:tc>
          <w:tcPr>
            <w:tcW w:w="2636"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shd w:val="clear" w:color="auto" w:fill="FFFFFF"/>
              </w:rPr>
              <w:t>外排基质</w:t>
            </w:r>
          </w:p>
        </w:tc>
        <w:tc>
          <w:tcPr>
            <w:tcW w:w="6652" w:type="dxa"/>
          </w:tcPr>
          <w:p w:rsidR="00052878" w:rsidRDefault="00052878" w:rsidP="0072505F">
            <w:pPr>
              <w:pStyle w:val="1"/>
              <w:adjustRightInd w:val="0"/>
              <w:snapToGrid w:val="0"/>
              <w:spacing w:line="360" w:lineRule="auto"/>
              <w:ind w:firstLineChars="0" w:firstLine="0"/>
              <w:rPr>
                <w:rFonts w:ascii="仿宋_GB2312" w:eastAsia="仿宋_GB2312" w:hAnsi="仿宋_GB2312" w:cs="仿宋_GB2312"/>
                <w:color w:val="000000"/>
                <w:kern w:val="0"/>
                <w:sz w:val="30"/>
                <w:szCs w:val="30"/>
              </w:rPr>
            </w:pPr>
            <w:r>
              <w:rPr>
                <w:rFonts w:ascii="仿宋_GB2312" w:eastAsia="仿宋_GB2312" w:hAnsi="仿宋_GB2312" w:cs="仿宋_GB2312" w:hint="eastAsia"/>
                <w:bCs/>
                <w:color w:val="000000"/>
                <w:kern w:val="0"/>
                <w:sz w:val="30"/>
                <w:szCs w:val="30"/>
              </w:rPr>
              <w:t>地高辛、紫杉醇、奎尼丁、长春碱</w:t>
            </w:r>
          </w:p>
        </w:tc>
      </w:tr>
    </w:tbl>
    <w:p w:rsidR="00052878" w:rsidRDefault="00052878" w:rsidP="00052878">
      <w:pPr>
        <w:pStyle w:val="1"/>
        <w:adjustRightInd w:val="0"/>
        <w:snapToGrid w:val="0"/>
        <w:spacing w:line="360" w:lineRule="auto"/>
        <w:ind w:firstLine="640"/>
        <w:rPr>
          <w:rFonts w:ascii="黑体" w:eastAsia="黑体" w:hAnsi="黑体" w:cs="楷体_GB2312"/>
          <w:bCs/>
          <w:kern w:val="0"/>
          <w:sz w:val="32"/>
          <w:szCs w:val="32"/>
        </w:rPr>
      </w:pPr>
    </w:p>
    <w:p w:rsidR="00052878" w:rsidRDefault="00052878" w:rsidP="00052878">
      <w:pPr>
        <w:pStyle w:val="1"/>
        <w:adjustRightInd w:val="0"/>
        <w:snapToGrid w:val="0"/>
        <w:spacing w:line="360" w:lineRule="auto"/>
        <w:ind w:firstLine="640"/>
        <w:jc w:val="left"/>
        <w:rPr>
          <w:rFonts w:ascii="黑体" w:eastAsia="黑体" w:hAnsi="黑体" w:cs="楷体_GB2312"/>
          <w:bCs/>
          <w:kern w:val="0"/>
          <w:sz w:val="32"/>
          <w:szCs w:val="32"/>
        </w:rPr>
      </w:pPr>
    </w:p>
    <w:p w:rsidR="00052878" w:rsidRDefault="00052878" w:rsidP="00052878">
      <w:pPr>
        <w:pStyle w:val="1"/>
        <w:adjustRightInd w:val="0"/>
        <w:snapToGrid w:val="0"/>
        <w:spacing w:line="360" w:lineRule="auto"/>
        <w:ind w:firstLine="640"/>
        <w:jc w:val="left"/>
        <w:rPr>
          <w:rFonts w:ascii="黑体" w:eastAsia="黑体" w:hAnsi="黑体" w:cs="楷体_GB2312"/>
          <w:bCs/>
          <w:kern w:val="0"/>
          <w:sz w:val="32"/>
          <w:szCs w:val="32"/>
        </w:rPr>
      </w:pPr>
    </w:p>
    <w:p w:rsidR="00052878" w:rsidRDefault="00052878" w:rsidP="00052878">
      <w:pPr>
        <w:pStyle w:val="1"/>
        <w:adjustRightInd w:val="0"/>
        <w:snapToGrid w:val="0"/>
        <w:spacing w:line="360" w:lineRule="auto"/>
        <w:ind w:firstLineChars="0" w:firstLine="0"/>
        <w:jc w:val="left"/>
        <w:rPr>
          <w:rFonts w:ascii="黑体" w:eastAsia="黑体" w:hAnsi="黑体" w:cs="楷体_GB2312"/>
          <w:bCs/>
          <w:kern w:val="0"/>
          <w:sz w:val="32"/>
          <w:szCs w:val="32"/>
        </w:rPr>
      </w:pPr>
      <w:r>
        <w:rPr>
          <w:rFonts w:ascii="黑体" w:eastAsia="黑体" w:hAnsi="黑体" w:cs="楷体_GB2312" w:hint="eastAsia"/>
          <w:bCs/>
          <w:kern w:val="0"/>
          <w:sz w:val="32"/>
          <w:szCs w:val="32"/>
        </w:rPr>
        <w:t>附录</w:t>
      </w:r>
      <w:r>
        <w:rPr>
          <w:rFonts w:ascii="黑体" w:eastAsia="黑体" w:hAnsi="黑体" w:cs="楷体_GB2312"/>
          <w:bCs/>
          <w:kern w:val="0"/>
          <w:sz w:val="32"/>
          <w:szCs w:val="32"/>
        </w:rPr>
        <w:t>B</w:t>
      </w:r>
    </w:p>
    <w:p w:rsidR="00052878" w:rsidRDefault="00052878" w:rsidP="00052878">
      <w:pPr>
        <w:pStyle w:val="1"/>
        <w:adjustRightInd w:val="0"/>
        <w:snapToGrid w:val="0"/>
        <w:spacing w:line="360" w:lineRule="auto"/>
        <w:ind w:firstLineChars="0" w:firstLine="200"/>
        <w:jc w:val="left"/>
        <w:rPr>
          <w:rFonts w:ascii="黑体" w:eastAsia="黑体" w:hAnsi="黑体" w:cs="楷体_GB2312"/>
          <w:bCs/>
          <w:kern w:val="0"/>
          <w:sz w:val="32"/>
          <w:szCs w:val="32"/>
        </w:rPr>
      </w:pPr>
    </w:p>
    <w:p w:rsidR="00052878" w:rsidRDefault="00052878" w:rsidP="00052878">
      <w:pPr>
        <w:pStyle w:val="1"/>
        <w:adjustRightInd w:val="0"/>
        <w:snapToGrid w:val="0"/>
        <w:spacing w:line="360" w:lineRule="auto"/>
        <w:ind w:firstLineChars="0"/>
        <w:jc w:val="center"/>
        <w:rPr>
          <w:rFonts w:ascii="方正小标宋简体" w:eastAsia="方正小标宋简体" w:hAnsi="黑体" w:cs="楷体_GB2312"/>
          <w:bCs/>
          <w:kern w:val="0"/>
          <w:sz w:val="44"/>
          <w:szCs w:val="44"/>
        </w:rPr>
      </w:pPr>
      <w:r>
        <w:rPr>
          <w:rFonts w:ascii="方正小标宋简体" w:eastAsia="方正小标宋简体" w:hAnsi="黑体" w:cs="楷体_GB2312" w:hint="eastAsia"/>
          <w:bCs/>
          <w:kern w:val="0"/>
          <w:sz w:val="44"/>
          <w:szCs w:val="44"/>
        </w:rPr>
        <w:t>参考文献</w:t>
      </w:r>
    </w:p>
    <w:p w:rsidR="00052878" w:rsidRDefault="00052878" w:rsidP="00052878">
      <w:pPr>
        <w:pStyle w:val="1"/>
        <w:adjustRightInd w:val="0"/>
        <w:snapToGrid w:val="0"/>
        <w:spacing w:line="360" w:lineRule="auto"/>
        <w:ind w:firstLine="640"/>
        <w:rPr>
          <w:rFonts w:ascii="Times New Roman" w:eastAsia="仿宋_GB2312" w:hAnsi="Times New Roman"/>
          <w:bCs/>
          <w:kern w:val="0"/>
          <w:sz w:val="32"/>
          <w:szCs w:val="32"/>
        </w:rPr>
      </w:pPr>
    </w:p>
    <w:p w:rsidR="00052878" w:rsidRDefault="00052878" w:rsidP="00052878">
      <w:pPr>
        <w:pStyle w:val="1"/>
        <w:adjustRightInd w:val="0"/>
        <w:snapToGrid w:val="0"/>
        <w:spacing w:line="360" w:lineRule="auto"/>
        <w:ind w:firstLine="640"/>
        <w:rPr>
          <w:rFonts w:ascii="Times New Roman" w:eastAsia="仿宋_GB2312" w:hAnsi="Times New Roman"/>
          <w:bCs/>
          <w:kern w:val="0"/>
          <w:sz w:val="32"/>
          <w:szCs w:val="32"/>
        </w:rPr>
      </w:pP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．中国药典</w:t>
      </w:r>
      <w:r>
        <w:rPr>
          <w:rFonts w:ascii="Times New Roman" w:eastAsia="仿宋_GB2312" w:hAnsi="Times New Roman"/>
          <w:bCs/>
          <w:kern w:val="0"/>
          <w:sz w:val="32"/>
          <w:szCs w:val="32"/>
        </w:rPr>
        <w:t>2015</w:t>
      </w:r>
      <w:r>
        <w:rPr>
          <w:rFonts w:ascii="Times New Roman" w:eastAsia="仿宋_GB2312" w:hAnsi="Times New Roman" w:hint="eastAsia"/>
          <w:bCs/>
          <w:kern w:val="0"/>
          <w:sz w:val="32"/>
          <w:szCs w:val="32"/>
        </w:rPr>
        <w:t>年版</w:t>
      </w:r>
      <w:r>
        <w:rPr>
          <w:rFonts w:ascii="Times New Roman" w:eastAsia="仿宋_GB2312" w:hAnsi="Times New Roman"/>
          <w:bCs/>
          <w:kern w:val="0"/>
          <w:sz w:val="32"/>
          <w:szCs w:val="32"/>
        </w:rPr>
        <w:t>.</w:t>
      </w:r>
    </w:p>
    <w:p w:rsidR="00052878" w:rsidRDefault="00052878" w:rsidP="00052878">
      <w:pPr>
        <w:pStyle w:val="1"/>
        <w:adjustRightInd w:val="0"/>
        <w:snapToGrid w:val="0"/>
        <w:spacing w:line="360" w:lineRule="auto"/>
        <w:ind w:firstLine="640"/>
        <w:rPr>
          <w:rFonts w:ascii="Times New Roman" w:eastAsia="仿宋_GB2312" w:hAnsi="Times New Roman"/>
          <w:bCs/>
          <w:kern w:val="0"/>
          <w:sz w:val="32"/>
          <w:szCs w:val="32"/>
        </w:rPr>
      </w:pPr>
      <w:r>
        <w:rPr>
          <w:rFonts w:ascii="Times New Roman" w:eastAsia="仿宋_GB2312" w:hAnsi="Times New Roman"/>
          <w:bCs/>
          <w:kern w:val="0"/>
          <w:sz w:val="32"/>
          <w:szCs w:val="32"/>
        </w:rPr>
        <w:t>2</w:t>
      </w:r>
      <w:r>
        <w:rPr>
          <w:rFonts w:ascii="Times New Roman" w:eastAsia="仿宋_GB2312" w:hAnsi="Times New Roman" w:hint="eastAsia"/>
          <w:bCs/>
          <w:kern w:val="0"/>
          <w:sz w:val="32"/>
          <w:szCs w:val="32"/>
        </w:rPr>
        <w:t>．美国药典</w:t>
      </w:r>
      <w:r>
        <w:rPr>
          <w:rFonts w:ascii="Times New Roman" w:eastAsia="仿宋_GB2312" w:hAnsi="Times New Roman"/>
          <w:bCs/>
          <w:kern w:val="0"/>
          <w:sz w:val="32"/>
          <w:szCs w:val="32"/>
        </w:rPr>
        <w:t>USP39.</w:t>
      </w:r>
    </w:p>
    <w:p w:rsidR="00052878" w:rsidRDefault="00052878" w:rsidP="00052878">
      <w:pPr>
        <w:pStyle w:val="ListParagraph1"/>
        <w:adjustRightInd w:val="0"/>
        <w:snapToGrid w:val="0"/>
        <w:spacing w:line="360" w:lineRule="auto"/>
        <w:ind w:firstLine="640"/>
        <w:rPr>
          <w:rFonts w:ascii="Times New Roman" w:eastAsia="仿宋_GB2312" w:hAnsi="Times New Roman"/>
          <w:bCs/>
          <w:kern w:val="0"/>
          <w:sz w:val="32"/>
          <w:szCs w:val="32"/>
        </w:rPr>
      </w:pP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w:t>
      </w:r>
      <w:proofErr w:type="gramStart"/>
      <w:r>
        <w:rPr>
          <w:rFonts w:ascii="Times New Roman" w:eastAsia="仿宋_GB2312" w:hAnsi="Times New Roman"/>
          <w:bCs/>
          <w:kern w:val="0"/>
          <w:sz w:val="32"/>
          <w:szCs w:val="32"/>
        </w:rPr>
        <w:t>FDA.</w:t>
      </w:r>
      <w:proofErr w:type="gramEnd"/>
      <w:r>
        <w:rPr>
          <w:rFonts w:ascii="Times New Roman" w:eastAsia="仿宋_GB2312" w:hAnsi="Times New Roman"/>
          <w:bCs/>
          <w:kern w:val="0"/>
          <w:sz w:val="32"/>
          <w:szCs w:val="32"/>
        </w:rPr>
        <w:t xml:space="preserve"> Guidance for industry: “Waiver of in </w:t>
      </w:r>
      <w:proofErr w:type="spellStart"/>
      <w:r>
        <w:rPr>
          <w:rFonts w:ascii="Times New Roman" w:eastAsia="仿宋_GB2312" w:hAnsi="Times New Roman"/>
          <w:bCs/>
          <w:kern w:val="0"/>
          <w:sz w:val="32"/>
          <w:szCs w:val="32"/>
        </w:rPr>
        <w:t>invo</w:t>
      </w:r>
      <w:proofErr w:type="spellEnd"/>
      <w:r>
        <w:rPr>
          <w:rFonts w:ascii="Times New Roman" w:eastAsia="仿宋_GB2312" w:hAnsi="Times New Roman"/>
          <w:bCs/>
          <w:kern w:val="0"/>
          <w:sz w:val="32"/>
          <w:szCs w:val="32"/>
        </w:rPr>
        <w:t xml:space="preserve"> bioequivalence studies for immediate-release solid oral dosage forms based on a </w:t>
      </w:r>
      <w:proofErr w:type="spellStart"/>
      <w:r>
        <w:rPr>
          <w:rFonts w:ascii="Times New Roman" w:eastAsia="仿宋_GB2312" w:hAnsi="Times New Roman"/>
          <w:bCs/>
          <w:kern w:val="0"/>
          <w:sz w:val="32"/>
          <w:szCs w:val="32"/>
        </w:rPr>
        <w:t>Biopharmaceutics</w:t>
      </w:r>
      <w:proofErr w:type="spellEnd"/>
      <w:r>
        <w:rPr>
          <w:rFonts w:ascii="Times New Roman" w:eastAsia="仿宋_GB2312" w:hAnsi="Times New Roman"/>
          <w:bCs/>
          <w:kern w:val="0"/>
          <w:sz w:val="32"/>
          <w:szCs w:val="32"/>
        </w:rPr>
        <w:t xml:space="preserve"> Classification System”</w:t>
      </w:r>
      <w:r>
        <w:rPr>
          <w:rFonts w:ascii="Times New Roman" w:eastAsia="仿宋_GB2312" w:hAnsi="Times New Roman" w:hint="eastAsia"/>
          <w:bCs/>
          <w:spacing w:val="12"/>
          <w:kern w:val="0"/>
          <w:sz w:val="32"/>
          <w:szCs w:val="32"/>
        </w:rPr>
        <w:t>［</w:t>
      </w:r>
      <w:r>
        <w:rPr>
          <w:rFonts w:ascii="Times New Roman" w:eastAsia="仿宋_GB2312" w:hAnsi="Times New Roman"/>
          <w:bCs/>
          <w:spacing w:val="12"/>
          <w:kern w:val="0"/>
          <w:sz w:val="32"/>
          <w:szCs w:val="32"/>
        </w:rPr>
        <w:t>EB/OL</w:t>
      </w:r>
      <w:r>
        <w:rPr>
          <w:rFonts w:ascii="Times New Roman" w:eastAsia="仿宋_GB2312" w:hAnsi="Times New Roman" w:hint="eastAsia"/>
          <w:bCs/>
          <w:spacing w:val="12"/>
          <w:kern w:val="0"/>
          <w:sz w:val="32"/>
          <w:szCs w:val="32"/>
        </w:rPr>
        <w:t>］．</w:t>
      </w:r>
      <w:r>
        <w:rPr>
          <w:rFonts w:ascii="Times New Roman" w:eastAsia="仿宋_GB2312" w:hAnsi="Times New Roman"/>
          <w:bCs/>
          <w:spacing w:val="12"/>
          <w:kern w:val="0"/>
          <w:sz w:val="32"/>
          <w:szCs w:val="32"/>
        </w:rPr>
        <w:t xml:space="preserve">( 2015) </w:t>
      </w:r>
      <w:r>
        <w:rPr>
          <w:rFonts w:ascii="Times New Roman" w:eastAsia="仿宋_GB2312" w:hAnsi="Times New Roman" w:hint="eastAsia"/>
          <w:bCs/>
          <w:spacing w:val="12"/>
          <w:kern w:val="0"/>
          <w:sz w:val="32"/>
          <w:szCs w:val="32"/>
        </w:rPr>
        <w:t>．</w:t>
      </w:r>
      <w:proofErr w:type="gramStart"/>
      <w:r>
        <w:rPr>
          <w:rFonts w:ascii="Times New Roman" w:eastAsia="仿宋_GB2312" w:hAnsi="Times New Roman"/>
          <w:bCs/>
          <w:spacing w:val="12"/>
          <w:kern w:val="0"/>
          <w:sz w:val="32"/>
          <w:szCs w:val="32"/>
        </w:rPr>
        <w:t>http</w:t>
      </w:r>
      <w:proofErr w:type="gramEnd"/>
      <w:r>
        <w:rPr>
          <w:rFonts w:ascii="Times New Roman" w:eastAsia="仿宋_GB2312" w:hAnsi="Times New Roman"/>
          <w:bCs/>
          <w:spacing w:val="12"/>
          <w:kern w:val="0"/>
          <w:sz w:val="32"/>
          <w:szCs w:val="32"/>
        </w:rPr>
        <w:t>: //www.fda.gov/Drugs /Guidance</w:t>
      </w:r>
    </w:p>
    <w:p w:rsidR="00052878" w:rsidRDefault="00052878" w:rsidP="00052878">
      <w:pPr>
        <w:pStyle w:val="ListParagraph1"/>
        <w:adjustRightInd w:val="0"/>
        <w:snapToGrid w:val="0"/>
        <w:spacing w:line="360" w:lineRule="auto"/>
        <w:ind w:firstLineChars="0" w:firstLine="0"/>
        <w:rPr>
          <w:rFonts w:ascii="Times New Roman" w:eastAsia="仿宋_GB2312" w:hAnsi="Times New Roman"/>
          <w:bCs/>
          <w:kern w:val="0"/>
          <w:sz w:val="32"/>
          <w:szCs w:val="32"/>
        </w:rPr>
      </w:pPr>
      <w:proofErr w:type="spellStart"/>
      <w:r>
        <w:rPr>
          <w:rFonts w:ascii="Times New Roman" w:eastAsia="仿宋_GB2312" w:hAnsi="Times New Roman"/>
          <w:bCs/>
          <w:kern w:val="0"/>
          <w:sz w:val="32"/>
          <w:szCs w:val="32"/>
        </w:rPr>
        <w:t>ComplianceRegulatoryInformation</w:t>
      </w:r>
      <w:proofErr w:type="spellEnd"/>
      <w:r>
        <w:rPr>
          <w:rFonts w:ascii="Times New Roman" w:eastAsia="仿宋_GB2312" w:hAnsi="Times New Roman"/>
          <w:bCs/>
          <w:kern w:val="0"/>
          <w:sz w:val="32"/>
          <w:szCs w:val="32"/>
        </w:rPr>
        <w:t>/</w:t>
      </w:r>
      <w:proofErr w:type="spellStart"/>
      <w:r>
        <w:rPr>
          <w:rFonts w:ascii="Times New Roman" w:eastAsia="仿宋_GB2312" w:hAnsi="Times New Roman"/>
          <w:bCs/>
          <w:kern w:val="0"/>
          <w:sz w:val="32"/>
          <w:szCs w:val="32"/>
        </w:rPr>
        <w:t>Guidances</w:t>
      </w:r>
      <w:proofErr w:type="spellEnd"/>
      <w:r>
        <w:rPr>
          <w:rFonts w:ascii="Times New Roman" w:eastAsia="仿宋_GB2312" w:hAnsi="Times New Roman"/>
          <w:bCs/>
          <w:kern w:val="0"/>
          <w:sz w:val="32"/>
          <w:szCs w:val="32"/>
        </w:rPr>
        <w:t>/default.htm</w:t>
      </w:r>
      <w:r>
        <w:rPr>
          <w:rFonts w:ascii="Times New Roman" w:eastAsia="仿宋_GB2312" w:hAnsi="Times New Roman" w:hint="eastAsia"/>
          <w:bCs/>
          <w:kern w:val="0"/>
          <w:sz w:val="32"/>
          <w:szCs w:val="32"/>
        </w:rPr>
        <w:t>．</w:t>
      </w:r>
    </w:p>
    <w:p w:rsidR="00052878" w:rsidRDefault="00052878" w:rsidP="00052878">
      <w:pPr>
        <w:pStyle w:val="ListParagraph1"/>
        <w:adjustRightInd w:val="0"/>
        <w:snapToGrid w:val="0"/>
        <w:spacing w:line="360" w:lineRule="auto"/>
        <w:ind w:firstLine="640"/>
        <w:rPr>
          <w:rFonts w:ascii="Times New Roman" w:eastAsia="仿宋_GB2312" w:hAnsi="Times New Roman"/>
          <w:b/>
          <w:bCs/>
          <w:kern w:val="0"/>
          <w:sz w:val="32"/>
          <w:szCs w:val="32"/>
        </w:rPr>
      </w:pPr>
      <w:r>
        <w:rPr>
          <w:rFonts w:ascii="Times New Roman" w:eastAsia="仿宋_GB2312" w:hAnsi="Times New Roman"/>
          <w:bCs/>
          <w:kern w:val="0"/>
          <w:sz w:val="32"/>
          <w:szCs w:val="32"/>
        </w:rPr>
        <w:t>4</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WHO</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 xml:space="preserve">Technical Report Series No.937; Annex 7: Multisource (generic) pharmaceutical products: </w:t>
      </w:r>
      <w:proofErr w:type="spellStart"/>
      <w:r>
        <w:rPr>
          <w:rFonts w:ascii="Times New Roman" w:eastAsia="仿宋_GB2312" w:hAnsi="Times New Roman"/>
          <w:bCs/>
          <w:kern w:val="0"/>
          <w:sz w:val="32"/>
          <w:szCs w:val="32"/>
        </w:rPr>
        <w:t>guidelineson</w:t>
      </w:r>
      <w:proofErr w:type="spellEnd"/>
      <w:r>
        <w:rPr>
          <w:rFonts w:ascii="Times New Roman" w:eastAsia="仿宋_GB2312" w:hAnsi="Times New Roman"/>
          <w:bCs/>
          <w:kern w:val="0"/>
          <w:sz w:val="32"/>
          <w:szCs w:val="32"/>
        </w:rPr>
        <w:t xml:space="preserve"> registration requirements to establish interchangeability; Annex 8: Proposal to waive in vivo bioequivalence requirements for WHO Model List of Essential Medicines immediate-release</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solid oral dosage forms</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S</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 xml:space="preserve"> 2006</w:t>
      </w:r>
      <w:r>
        <w:rPr>
          <w:rFonts w:ascii="Times New Roman" w:eastAsia="仿宋_GB2312" w:hAnsi="Times New Roman" w:hint="eastAsia"/>
          <w:bCs/>
          <w:kern w:val="0"/>
          <w:sz w:val="32"/>
          <w:szCs w:val="32"/>
        </w:rPr>
        <w:t>．</w:t>
      </w:r>
    </w:p>
    <w:p w:rsidR="00052878" w:rsidRDefault="00052878" w:rsidP="00052878">
      <w:pPr>
        <w:adjustRightInd w:val="0"/>
        <w:snapToGrid w:val="0"/>
        <w:spacing w:line="360" w:lineRule="auto"/>
        <w:ind w:firstLineChars="200" w:firstLine="640"/>
        <w:rPr>
          <w:rFonts w:eastAsia="仿宋_GB2312"/>
          <w:bCs/>
          <w:kern w:val="0"/>
          <w:sz w:val="32"/>
          <w:szCs w:val="32"/>
        </w:rPr>
      </w:pPr>
      <w:r>
        <w:rPr>
          <w:rFonts w:eastAsia="仿宋_GB2312"/>
          <w:bCs/>
          <w:kern w:val="0"/>
          <w:sz w:val="32"/>
          <w:szCs w:val="32"/>
        </w:rPr>
        <w:t>5</w:t>
      </w:r>
      <w:r>
        <w:rPr>
          <w:rFonts w:eastAsia="仿宋_GB2312" w:hint="eastAsia"/>
          <w:bCs/>
          <w:kern w:val="0"/>
          <w:sz w:val="32"/>
          <w:szCs w:val="32"/>
        </w:rPr>
        <w:t>．</w:t>
      </w:r>
      <w:proofErr w:type="spellStart"/>
      <w:proofErr w:type="gramStart"/>
      <w:r>
        <w:rPr>
          <w:rFonts w:eastAsia="仿宋_GB2312"/>
          <w:bCs/>
          <w:kern w:val="0"/>
          <w:sz w:val="32"/>
          <w:szCs w:val="32"/>
        </w:rPr>
        <w:t>EMA.Guidanceon</w:t>
      </w:r>
      <w:proofErr w:type="spellEnd"/>
      <w:r>
        <w:rPr>
          <w:rFonts w:eastAsia="仿宋_GB2312"/>
          <w:bCs/>
          <w:kern w:val="0"/>
          <w:sz w:val="32"/>
          <w:szCs w:val="32"/>
        </w:rPr>
        <w:t xml:space="preserve"> the investigation of bioequivalence</w:t>
      </w:r>
      <w:r>
        <w:rPr>
          <w:rFonts w:eastAsia="仿宋_GB2312" w:hint="eastAsia"/>
          <w:bCs/>
          <w:kern w:val="0"/>
          <w:sz w:val="32"/>
          <w:szCs w:val="32"/>
        </w:rPr>
        <w:t>.</w:t>
      </w:r>
      <w:proofErr w:type="gramEnd"/>
      <w:r>
        <w:rPr>
          <w:rFonts w:eastAsia="仿宋_GB2312"/>
          <w:bCs/>
          <w:kern w:val="0"/>
          <w:sz w:val="32"/>
          <w:szCs w:val="32"/>
        </w:rPr>
        <w:t xml:space="preserve"> CPMP /EWP /QWP /1401 /98 Rev</w:t>
      </w:r>
      <w:r>
        <w:rPr>
          <w:rFonts w:eastAsia="仿宋_GB2312" w:hint="eastAsia"/>
          <w:bCs/>
          <w:kern w:val="0"/>
          <w:sz w:val="32"/>
          <w:szCs w:val="32"/>
        </w:rPr>
        <w:t>.</w:t>
      </w:r>
      <w:r>
        <w:rPr>
          <w:rFonts w:eastAsia="仿宋_GB2312"/>
          <w:bCs/>
          <w:kern w:val="0"/>
          <w:sz w:val="32"/>
          <w:szCs w:val="32"/>
        </w:rPr>
        <w:t>1</w:t>
      </w:r>
      <w:r>
        <w:rPr>
          <w:rFonts w:eastAsia="仿宋_GB2312" w:hint="eastAsia"/>
          <w:bCs/>
          <w:kern w:val="0"/>
          <w:sz w:val="32"/>
          <w:szCs w:val="32"/>
        </w:rPr>
        <w:t>，</w:t>
      </w:r>
      <w:r>
        <w:rPr>
          <w:rFonts w:eastAsia="仿宋_GB2312"/>
          <w:bCs/>
          <w:kern w:val="0"/>
          <w:sz w:val="32"/>
          <w:szCs w:val="32"/>
        </w:rPr>
        <w:t xml:space="preserve">Appendix </w:t>
      </w:r>
      <w:r>
        <w:rPr>
          <w:rFonts w:ascii="宋体" w:hAnsi="宋体" w:cs="宋体" w:hint="eastAsia"/>
          <w:bCs/>
          <w:kern w:val="0"/>
          <w:sz w:val="32"/>
          <w:szCs w:val="32"/>
        </w:rPr>
        <w:t>Ⅲ</w:t>
      </w:r>
      <w:r>
        <w:rPr>
          <w:rFonts w:eastAsia="仿宋_GB2312" w:hint="eastAsia"/>
          <w:bCs/>
          <w:kern w:val="0"/>
          <w:sz w:val="32"/>
          <w:szCs w:val="32"/>
        </w:rPr>
        <w:t>［</w:t>
      </w:r>
      <w:r>
        <w:rPr>
          <w:rFonts w:eastAsia="仿宋_GB2312"/>
          <w:bCs/>
          <w:kern w:val="0"/>
          <w:sz w:val="32"/>
          <w:szCs w:val="32"/>
        </w:rPr>
        <w:t>S</w:t>
      </w:r>
      <w:r>
        <w:rPr>
          <w:rFonts w:eastAsia="仿宋_GB2312" w:hint="eastAsia"/>
          <w:bCs/>
          <w:kern w:val="0"/>
          <w:sz w:val="32"/>
          <w:szCs w:val="32"/>
        </w:rPr>
        <w:t>］．</w:t>
      </w:r>
      <w:r>
        <w:rPr>
          <w:rFonts w:eastAsia="仿宋_GB2312"/>
          <w:bCs/>
          <w:kern w:val="0"/>
          <w:sz w:val="32"/>
          <w:szCs w:val="32"/>
        </w:rPr>
        <w:t>2010</w:t>
      </w:r>
      <w:r>
        <w:rPr>
          <w:rFonts w:eastAsia="仿宋_GB2312" w:hint="eastAsia"/>
          <w:bCs/>
          <w:kern w:val="0"/>
          <w:sz w:val="32"/>
          <w:szCs w:val="32"/>
        </w:rPr>
        <w:t>．</w:t>
      </w:r>
    </w:p>
    <w:p w:rsidR="00D964EA" w:rsidRPr="00052878" w:rsidRDefault="00D964EA"/>
    <w:sectPr w:rsidR="00D964EA" w:rsidRPr="000528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76" w:rsidRDefault="00596B76" w:rsidP="00052878">
      <w:r>
        <w:separator/>
      </w:r>
    </w:p>
  </w:endnote>
  <w:endnote w:type="continuationSeparator" w:id="0">
    <w:p w:rsidR="00596B76" w:rsidRDefault="00596B76" w:rsidP="000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76" w:rsidRDefault="00596B76" w:rsidP="00052878">
      <w:r>
        <w:separator/>
      </w:r>
    </w:p>
  </w:footnote>
  <w:footnote w:type="continuationSeparator" w:id="0">
    <w:p w:rsidR="00596B76" w:rsidRDefault="00596B76" w:rsidP="0005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7B"/>
    <w:rsid w:val="00052878"/>
    <w:rsid w:val="00596B76"/>
    <w:rsid w:val="00D964EA"/>
    <w:rsid w:val="00F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878"/>
    <w:rPr>
      <w:sz w:val="18"/>
      <w:szCs w:val="18"/>
    </w:rPr>
  </w:style>
  <w:style w:type="paragraph" w:styleId="a4">
    <w:name w:val="footer"/>
    <w:basedOn w:val="a"/>
    <w:link w:val="Char0"/>
    <w:uiPriority w:val="99"/>
    <w:unhideWhenUsed/>
    <w:rsid w:val="0005287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878"/>
    <w:rPr>
      <w:sz w:val="18"/>
      <w:szCs w:val="18"/>
    </w:rPr>
  </w:style>
  <w:style w:type="paragraph" w:styleId="a5">
    <w:name w:val="annotation text"/>
    <w:basedOn w:val="a"/>
    <w:link w:val="Char1"/>
    <w:uiPriority w:val="99"/>
    <w:rsid w:val="00052878"/>
    <w:pPr>
      <w:jc w:val="left"/>
    </w:pPr>
    <w:rPr>
      <w:rFonts w:ascii="Calibri" w:eastAsia="宋体" w:hAnsi="Calibri" w:cs="Times New Roman"/>
    </w:rPr>
  </w:style>
  <w:style w:type="character" w:customStyle="1" w:styleId="Char1">
    <w:name w:val="批注文字 Char"/>
    <w:basedOn w:val="a0"/>
    <w:link w:val="a5"/>
    <w:uiPriority w:val="99"/>
    <w:rsid w:val="00052878"/>
    <w:rPr>
      <w:rFonts w:ascii="Calibri" w:eastAsia="宋体" w:hAnsi="Calibri" w:cs="Times New Roman"/>
    </w:rPr>
  </w:style>
  <w:style w:type="paragraph" w:customStyle="1" w:styleId="1">
    <w:name w:val="列出段落1"/>
    <w:basedOn w:val="a"/>
    <w:uiPriority w:val="99"/>
    <w:qFormat/>
    <w:rsid w:val="00052878"/>
    <w:pPr>
      <w:ind w:firstLineChars="200" w:firstLine="420"/>
    </w:pPr>
    <w:rPr>
      <w:rFonts w:ascii="Calibri" w:eastAsia="宋体" w:hAnsi="Calibri" w:cs="Times New Roman"/>
    </w:rPr>
  </w:style>
  <w:style w:type="paragraph" w:customStyle="1" w:styleId="ListParagraph1">
    <w:name w:val="List Paragraph1"/>
    <w:basedOn w:val="a"/>
    <w:uiPriority w:val="99"/>
    <w:qFormat/>
    <w:rsid w:val="0005287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878"/>
    <w:rPr>
      <w:sz w:val="18"/>
      <w:szCs w:val="18"/>
    </w:rPr>
  </w:style>
  <w:style w:type="paragraph" w:styleId="a4">
    <w:name w:val="footer"/>
    <w:basedOn w:val="a"/>
    <w:link w:val="Char0"/>
    <w:uiPriority w:val="99"/>
    <w:unhideWhenUsed/>
    <w:rsid w:val="0005287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878"/>
    <w:rPr>
      <w:sz w:val="18"/>
      <w:szCs w:val="18"/>
    </w:rPr>
  </w:style>
  <w:style w:type="paragraph" w:styleId="a5">
    <w:name w:val="annotation text"/>
    <w:basedOn w:val="a"/>
    <w:link w:val="Char1"/>
    <w:uiPriority w:val="99"/>
    <w:rsid w:val="00052878"/>
    <w:pPr>
      <w:jc w:val="left"/>
    </w:pPr>
    <w:rPr>
      <w:rFonts w:ascii="Calibri" w:eastAsia="宋体" w:hAnsi="Calibri" w:cs="Times New Roman"/>
    </w:rPr>
  </w:style>
  <w:style w:type="character" w:customStyle="1" w:styleId="Char1">
    <w:name w:val="批注文字 Char"/>
    <w:basedOn w:val="a0"/>
    <w:link w:val="a5"/>
    <w:uiPriority w:val="99"/>
    <w:rsid w:val="00052878"/>
    <w:rPr>
      <w:rFonts w:ascii="Calibri" w:eastAsia="宋体" w:hAnsi="Calibri" w:cs="Times New Roman"/>
    </w:rPr>
  </w:style>
  <w:style w:type="paragraph" w:customStyle="1" w:styleId="1">
    <w:name w:val="列出段落1"/>
    <w:basedOn w:val="a"/>
    <w:uiPriority w:val="99"/>
    <w:qFormat/>
    <w:rsid w:val="00052878"/>
    <w:pPr>
      <w:ind w:firstLineChars="200" w:firstLine="420"/>
    </w:pPr>
    <w:rPr>
      <w:rFonts w:ascii="Calibri" w:eastAsia="宋体" w:hAnsi="Calibri" w:cs="Times New Roman"/>
    </w:rPr>
  </w:style>
  <w:style w:type="paragraph" w:customStyle="1" w:styleId="ListParagraph1">
    <w:name w:val="List Paragraph1"/>
    <w:basedOn w:val="a"/>
    <w:uiPriority w:val="99"/>
    <w:qFormat/>
    <w:rsid w:val="0005287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link?url=51s-l9DX6tn5GXPLSbAO6eNgFZ3PxxUdXSLVOWDDx-QWvWRmZRFE0jRPH8tD0-8SbWYk1eqVWlxumuguq8XopXUzzsyPaas2l72YcZxo5j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1352</Words>
  <Characters>7709</Characters>
  <Application>Microsoft Office Word</Application>
  <DocSecurity>0</DocSecurity>
  <Lines>64</Lines>
  <Paragraphs>18</Paragraphs>
  <ScaleCrop>false</ScaleCrop>
  <Company>MS</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40939</dc:creator>
  <cp:keywords/>
  <dc:description/>
  <cp:lastModifiedBy>40939</cp:lastModifiedBy>
  <cp:revision>2</cp:revision>
  <dcterms:created xsi:type="dcterms:W3CDTF">2017-01-20T04:32:00Z</dcterms:created>
  <dcterms:modified xsi:type="dcterms:W3CDTF">2017-01-20T04:35:00Z</dcterms:modified>
</cp:coreProperties>
</file>